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1D52" w14:textId="0E69ACC7" w:rsidR="00E619D7" w:rsidRPr="0098434E" w:rsidRDefault="00E619D7" w:rsidP="0098434E">
      <w:pPr>
        <w:spacing w:after="0" w:line="276" w:lineRule="auto"/>
        <w:jc w:val="center"/>
        <w:rPr>
          <w:rFonts w:ascii="Trebuchet MS" w:hAnsi="Trebuchet MS"/>
          <w:b/>
          <w:noProof/>
          <w:color w:val="000000"/>
          <w:lang w:val="ro-RO"/>
        </w:rPr>
      </w:pPr>
    </w:p>
    <w:p w14:paraId="0716085E" w14:textId="77777777" w:rsidR="005F2BBD" w:rsidRPr="0098434E" w:rsidRDefault="005F2BBD" w:rsidP="0098434E">
      <w:pPr>
        <w:spacing w:after="0" w:line="276" w:lineRule="auto"/>
        <w:jc w:val="center"/>
        <w:rPr>
          <w:rFonts w:ascii="Trebuchet MS" w:hAnsi="Trebuchet MS"/>
          <w:b/>
          <w:noProof/>
          <w:color w:val="000000"/>
          <w:lang w:val="ro-RO"/>
        </w:rPr>
      </w:pPr>
    </w:p>
    <w:p w14:paraId="1943ACB5" w14:textId="77777777" w:rsidR="00E318A6" w:rsidRPr="0098434E" w:rsidRDefault="00E318A6" w:rsidP="0098434E">
      <w:pPr>
        <w:spacing w:after="0" w:line="276" w:lineRule="auto"/>
        <w:jc w:val="center"/>
        <w:rPr>
          <w:rFonts w:ascii="Trebuchet MS" w:hAnsi="Trebuchet MS"/>
          <w:b/>
          <w:noProof/>
          <w:color w:val="000000"/>
          <w:lang w:val="ro-RO"/>
        </w:rPr>
      </w:pPr>
      <w:r w:rsidRPr="0098434E">
        <w:rPr>
          <w:rFonts w:ascii="Trebuchet MS" w:hAnsi="Trebuchet MS"/>
          <w:b/>
          <w:noProof/>
          <w:color w:val="000000"/>
          <w:lang w:val="ro-RO"/>
        </w:rPr>
        <w:t xml:space="preserve">     NOTĂ DE FUNDAMENTARE</w:t>
      </w:r>
    </w:p>
    <w:p w14:paraId="7E49DC82" w14:textId="77777777" w:rsidR="002F1F21" w:rsidRPr="0098434E" w:rsidRDefault="002F1F21" w:rsidP="0098434E">
      <w:pPr>
        <w:spacing w:after="0" w:line="276" w:lineRule="auto"/>
        <w:jc w:val="center"/>
        <w:rPr>
          <w:rFonts w:ascii="Trebuchet MS" w:hAnsi="Trebuchet MS"/>
          <w:b/>
          <w:noProof/>
          <w:color w:val="000000"/>
          <w:lang w:val="ro-RO"/>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709"/>
        <w:gridCol w:w="308"/>
        <w:gridCol w:w="1898"/>
        <w:gridCol w:w="62"/>
        <w:gridCol w:w="416"/>
        <w:gridCol w:w="479"/>
        <w:gridCol w:w="479"/>
        <w:gridCol w:w="479"/>
        <w:gridCol w:w="2541"/>
      </w:tblGrid>
      <w:tr w:rsidR="00E318A6" w:rsidRPr="0098434E" w14:paraId="4BB466F8" w14:textId="77777777" w:rsidTr="002F1F21">
        <w:trPr>
          <w:trHeight w:val="682"/>
        </w:trPr>
        <w:tc>
          <w:tcPr>
            <w:tcW w:w="10915" w:type="dxa"/>
            <w:gridSpan w:val="11"/>
            <w:vAlign w:val="center"/>
          </w:tcPr>
          <w:p w14:paraId="729D5BF4" w14:textId="77777777" w:rsidR="00E318A6" w:rsidRPr="0098434E" w:rsidRDefault="00E318A6" w:rsidP="0098434E">
            <w:pPr>
              <w:autoSpaceDE w:val="0"/>
              <w:autoSpaceDN w:val="0"/>
              <w:adjustRightInd w:val="0"/>
              <w:spacing w:after="0" w:line="276" w:lineRule="auto"/>
              <w:jc w:val="center"/>
              <w:rPr>
                <w:rFonts w:ascii="Trebuchet MS" w:hAnsi="Trebuchet MS"/>
                <w:b/>
                <w:noProof/>
                <w:color w:val="000000"/>
                <w:lang w:val="ro-RO"/>
              </w:rPr>
            </w:pPr>
            <w:r w:rsidRPr="0098434E">
              <w:rPr>
                <w:rFonts w:ascii="Trebuchet MS" w:hAnsi="Trebuchet MS"/>
                <w:b/>
                <w:noProof/>
                <w:color w:val="000000"/>
                <w:lang w:val="ro-RO"/>
              </w:rPr>
              <w:t>Secţiunea 1</w:t>
            </w:r>
          </w:p>
          <w:p w14:paraId="19DD908F" w14:textId="77777777" w:rsidR="00741E74" w:rsidRPr="0098434E" w:rsidRDefault="00E318A6" w:rsidP="0098434E">
            <w:pPr>
              <w:autoSpaceDE w:val="0"/>
              <w:autoSpaceDN w:val="0"/>
              <w:adjustRightInd w:val="0"/>
              <w:spacing w:after="0" w:line="276" w:lineRule="auto"/>
              <w:jc w:val="center"/>
              <w:rPr>
                <w:rFonts w:ascii="Trebuchet MS" w:hAnsi="Trebuchet MS"/>
                <w:b/>
                <w:noProof/>
                <w:color w:val="000000"/>
                <w:lang w:val="ro-RO"/>
              </w:rPr>
            </w:pPr>
            <w:r w:rsidRPr="0098434E">
              <w:rPr>
                <w:rFonts w:ascii="Trebuchet MS" w:hAnsi="Trebuchet MS"/>
                <w:b/>
                <w:noProof/>
                <w:color w:val="000000"/>
                <w:lang w:val="ro-RO"/>
              </w:rPr>
              <w:t>Titlul act</w:t>
            </w:r>
            <w:r w:rsidR="002F1F21" w:rsidRPr="0098434E">
              <w:rPr>
                <w:rFonts w:ascii="Trebuchet MS" w:hAnsi="Trebuchet MS"/>
                <w:b/>
                <w:noProof/>
                <w:color w:val="000000"/>
                <w:lang w:val="ro-RO"/>
              </w:rPr>
              <w:t>ului</w:t>
            </w:r>
            <w:r w:rsidRPr="0098434E">
              <w:rPr>
                <w:rFonts w:ascii="Trebuchet MS" w:hAnsi="Trebuchet MS"/>
                <w:b/>
                <w:noProof/>
                <w:color w:val="000000"/>
                <w:lang w:val="ro-RO"/>
              </w:rPr>
              <w:t xml:space="preserve"> normativ</w:t>
            </w:r>
          </w:p>
          <w:p w14:paraId="63FF8D99" w14:textId="77777777" w:rsidR="00E318A6" w:rsidRPr="0098434E" w:rsidRDefault="00E379AD" w:rsidP="0098434E">
            <w:pPr>
              <w:spacing w:after="0" w:line="276" w:lineRule="auto"/>
              <w:jc w:val="center"/>
              <w:rPr>
                <w:rFonts w:ascii="Trebuchet MS" w:hAnsi="Trebuchet MS"/>
                <w:b/>
                <w:bCs/>
                <w:lang w:val="ro-RO"/>
              </w:rPr>
            </w:pPr>
            <w:r w:rsidRPr="0098434E">
              <w:rPr>
                <w:rFonts w:ascii="Trebuchet MS" w:hAnsi="Trebuchet MS"/>
                <w:b/>
                <w:bCs/>
                <w:lang w:val="ro-RO"/>
              </w:rPr>
              <w:t xml:space="preserve">HOTĂRÂRE </w:t>
            </w:r>
          </w:p>
          <w:p w14:paraId="1E767411" w14:textId="4F414000" w:rsidR="00F24590" w:rsidRPr="0098434E" w:rsidRDefault="00F24590" w:rsidP="0098434E">
            <w:pPr>
              <w:autoSpaceDE w:val="0"/>
              <w:autoSpaceDN w:val="0"/>
              <w:adjustRightInd w:val="0"/>
              <w:spacing w:after="0" w:line="276" w:lineRule="auto"/>
              <w:jc w:val="center"/>
              <w:rPr>
                <w:rFonts w:ascii="Trebuchet MS" w:eastAsia="Times New Roman" w:hAnsi="Trebuchet MS"/>
                <w:lang w:val="ro-RO"/>
              </w:rPr>
            </w:pPr>
            <w:r w:rsidRPr="0098434E">
              <w:rPr>
                <w:rFonts w:ascii="Trebuchet MS" w:eastAsia="Times New Roman" w:hAnsi="Trebuchet MS"/>
                <w:lang w:val="ro-RO"/>
              </w:rPr>
              <w:t xml:space="preserve">privind suplimentarea bugetului Ministerului Public pe anul 2022 din Fondul de rezervă bugetară la </w:t>
            </w:r>
            <w:r w:rsidR="0098434E" w:rsidRPr="0098434E">
              <w:rPr>
                <w:rFonts w:ascii="Trebuchet MS" w:eastAsia="Times New Roman" w:hAnsi="Trebuchet MS"/>
                <w:lang w:val="ro-RO"/>
              </w:rPr>
              <w:t>dispoziția</w:t>
            </w:r>
            <w:r w:rsidRPr="0098434E">
              <w:rPr>
                <w:rFonts w:ascii="Trebuchet MS" w:eastAsia="Times New Roman" w:hAnsi="Trebuchet MS"/>
                <w:lang w:val="ro-RO"/>
              </w:rPr>
              <w:t xml:space="preserve"> Guvernului, prevăzut în bugetul de stat pe anul 2022</w:t>
            </w:r>
          </w:p>
          <w:p w14:paraId="28E09B59" w14:textId="7FD68545" w:rsidR="00E379AD" w:rsidRPr="0098434E" w:rsidRDefault="00E379AD" w:rsidP="0098434E">
            <w:pPr>
              <w:autoSpaceDE w:val="0"/>
              <w:autoSpaceDN w:val="0"/>
              <w:adjustRightInd w:val="0"/>
              <w:spacing w:after="0" w:line="276" w:lineRule="auto"/>
              <w:ind w:left="-170" w:right="-170"/>
              <w:jc w:val="center"/>
              <w:rPr>
                <w:rFonts w:ascii="Trebuchet MS" w:hAnsi="Trebuchet MS"/>
                <w:b/>
                <w:bCs/>
                <w:lang w:val="ro-RO"/>
              </w:rPr>
            </w:pPr>
          </w:p>
        </w:tc>
      </w:tr>
      <w:tr w:rsidR="00E318A6" w:rsidRPr="0098434E" w14:paraId="4C6B196F" w14:textId="77777777" w:rsidTr="002F1F21">
        <w:tc>
          <w:tcPr>
            <w:tcW w:w="10915" w:type="dxa"/>
            <w:gridSpan w:val="11"/>
            <w:vAlign w:val="center"/>
          </w:tcPr>
          <w:p w14:paraId="236C47BD" w14:textId="77777777" w:rsidR="00E318A6" w:rsidRPr="0098434E" w:rsidRDefault="00E318A6"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Secţiunea a 2-a</w:t>
            </w:r>
          </w:p>
          <w:p w14:paraId="0C08E5F8" w14:textId="77777777" w:rsidR="00E318A6" w:rsidRPr="0098434E" w:rsidRDefault="00E318A6" w:rsidP="0098434E">
            <w:pPr>
              <w:spacing w:after="0" w:line="276" w:lineRule="auto"/>
              <w:contextualSpacing/>
              <w:jc w:val="center"/>
              <w:rPr>
                <w:rFonts w:ascii="Trebuchet MS" w:eastAsia="Times New Roman" w:hAnsi="Trebuchet MS"/>
                <w:noProof/>
                <w:color w:val="000000"/>
                <w:highlight w:val="yellow"/>
                <w:lang w:val="ro-RO"/>
              </w:rPr>
            </w:pPr>
            <w:r w:rsidRPr="0098434E">
              <w:rPr>
                <w:rFonts w:ascii="Trebuchet MS" w:eastAsia="Times New Roman" w:hAnsi="Trebuchet MS"/>
                <w:b/>
                <w:noProof/>
                <w:color w:val="000000"/>
                <w:lang w:val="ro-RO"/>
              </w:rPr>
              <w:t>Motivul emiterii actului normativ</w:t>
            </w:r>
          </w:p>
        </w:tc>
      </w:tr>
      <w:tr w:rsidR="00E318A6" w:rsidRPr="0098434E" w14:paraId="36538F9B" w14:textId="77777777" w:rsidTr="002F1F21">
        <w:trPr>
          <w:trHeight w:val="90"/>
        </w:trPr>
        <w:tc>
          <w:tcPr>
            <w:tcW w:w="851" w:type="dxa"/>
            <w:vAlign w:val="center"/>
          </w:tcPr>
          <w:p w14:paraId="43BB95F5" w14:textId="77777777" w:rsidR="00E318A6" w:rsidRPr="0098434E" w:rsidRDefault="00755B49" w:rsidP="0098434E">
            <w:pPr>
              <w:spacing w:after="0" w:line="276" w:lineRule="auto"/>
              <w:jc w:val="right"/>
              <w:rPr>
                <w:rFonts w:ascii="Trebuchet MS" w:hAnsi="Trebuchet MS"/>
                <w:noProof/>
                <w:color w:val="000000"/>
                <w:lang w:val="ro-RO"/>
              </w:rPr>
            </w:pPr>
            <w:r w:rsidRPr="0098434E">
              <w:rPr>
                <w:rFonts w:ascii="Trebuchet MS" w:hAnsi="Trebuchet MS"/>
                <w:noProof/>
                <w:color w:val="000000"/>
                <w:lang w:val="ro-RO"/>
              </w:rPr>
              <w:t>2.</w:t>
            </w:r>
            <w:r w:rsidR="00E318A6" w:rsidRPr="0098434E">
              <w:rPr>
                <w:rFonts w:ascii="Trebuchet MS" w:hAnsi="Trebuchet MS"/>
                <w:noProof/>
                <w:color w:val="000000"/>
                <w:lang w:val="ro-RO"/>
              </w:rPr>
              <w:t>1.</w:t>
            </w:r>
          </w:p>
        </w:tc>
        <w:tc>
          <w:tcPr>
            <w:tcW w:w="2693" w:type="dxa"/>
            <w:vAlign w:val="center"/>
          </w:tcPr>
          <w:p w14:paraId="0E74C1A8" w14:textId="77777777" w:rsidR="00E318A6" w:rsidRPr="0098434E" w:rsidRDefault="00755B49" w:rsidP="0098434E">
            <w:pPr>
              <w:spacing w:after="0" w:line="276" w:lineRule="auto"/>
              <w:contextualSpacing/>
              <w:rPr>
                <w:rFonts w:ascii="Trebuchet MS" w:hAnsi="Trebuchet MS"/>
                <w:noProof/>
                <w:color w:val="000000"/>
                <w:lang w:val="ro-RO"/>
              </w:rPr>
            </w:pPr>
            <w:r w:rsidRPr="0098434E">
              <w:rPr>
                <w:rFonts w:ascii="Trebuchet MS" w:hAnsi="Trebuchet MS"/>
                <w:noProof/>
                <w:color w:val="000000"/>
                <w:lang w:val="ro-RO"/>
              </w:rPr>
              <w:t>Sursa act</w:t>
            </w:r>
            <w:r w:rsidR="002F1F21" w:rsidRPr="0098434E">
              <w:rPr>
                <w:rFonts w:ascii="Trebuchet MS" w:hAnsi="Trebuchet MS"/>
                <w:noProof/>
                <w:color w:val="000000"/>
                <w:lang w:val="ro-RO"/>
              </w:rPr>
              <w:t>ului</w:t>
            </w:r>
            <w:r w:rsidRPr="0098434E">
              <w:rPr>
                <w:rFonts w:ascii="Trebuchet MS" w:hAnsi="Trebuchet MS"/>
                <w:noProof/>
                <w:color w:val="000000"/>
                <w:lang w:val="ro-RO"/>
              </w:rPr>
              <w:t xml:space="preserve"> normativ</w:t>
            </w:r>
          </w:p>
        </w:tc>
        <w:tc>
          <w:tcPr>
            <w:tcW w:w="7371" w:type="dxa"/>
            <w:gridSpan w:val="9"/>
            <w:vAlign w:val="center"/>
          </w:tcPr>
          <w:p w14:paraId="4CEF6954" w14:textId="023FB3B0" w:rsidR="00BD0FB8" w:rsidRPr="0098434E" w:rsidRDefault="004F267E" w:rsidP="0098434E">
            <w:pPr>
              <w:spacing w:before="60" w:after="60" w:line="276" w:lineRule="auto"/>
              <w:contextualSpacing/>
              <w:jc w:val="both"/>
              <w:rPr>
                <w:rFonts w:ascii="Trebuchet MS" w:hAnsi="Trebuchet MS"/>
                <w:lang w:val="ro-RO"/>
              </w:rPr>
            </w:pPr>
            <w:r w:rsidRPr="0098434E">
              <w:rPr>
                <w:rFonts w:ascii="Trebuchet MS" w:hAnsi="Trebuchet MS"/>
                <w:lang w:val="ro-RO"/>
              </w:rPr>
              <w:t xml:space="preserve">     </w:t>
            </w:r>
            <w:r w:rsidR="00BD0FB8" w:rsidRPr="0098434E">
              <w:rPr>
                <w:rFonts w:ascii="Trebuchet MS" w:hAnsi="Trebuchet MS"/>
                <w:lang w:val="ro-RO"/>
              </w:rPr>
              <w:t>Art. 42 din Ordonanța Guvernului nr. 19/2022 cu privire la rectificarea bugetului de stat pe anul 2022 prevede următoarele:</w:t>
            </w:r>
          </w:p>
          <w:p w14:paraId="22F1EE66" w14:textId="53B00697" w:rsidR="00E318A6" w:rsidRPr="0098434E" w:rsidRDefault="00BD0FB8" w:rsidP="0098434E">
            <w:pPr>
              <w:autoSpaceDE w:val="0"/>
              <w:autoSpaceDN w:val="0"/>
              <w:adjustRightInd w:val="0"/>
              <w:spacing w:after="0" w:line="276" w:lineRule="auto"/>
              <w:ind w:firstLine="183"/>
              <w:jc w:val="both"/>
              <w:rPr>
                <w:rFonts w:ascii="Trebuchet MS" w:hAnsi="Trebuchet MS"/>
                <w:lang w:val="ro-RO"/>
              </w:rPr>
            </w:pPr>
            <w:r w:rsidRPr="0098434E">
              <w:rPr>
                <w:rFonts w:ascii="Trebuchet MS" w:hAnsi="Trebuchet MS"/>
                <w:lang w:val="ro-RO"/>
              </w:rPr>
              <w:t xml:space="preserve"> </w:t>
            </w:r>
            <w:bookmarkStart w:id="0" w:name="_Hlk117467147"/>
            <w:r w:rsidR="00A60B18" w:rsidRPr="0098434E">
              <w:rPr>
                <w:rFonts w:ascii="Trebuchet MS" w:hAnsi="Trebuchet MS"/>
                <w:lang w:val="ro-RO"/>
              </w:rPr>
              <w:t>,,</w:t>
            </w:r>
            <w:r w:rsidRPr="0098434E">
              <w:rPr>
                <w:rFonts w:ascii="Trebuchet MS" w:hAnsi="Trebuchet MS"/>
                <w:lang w:val="ro-RO"/>
              </w:rPr>
              <w:t>Prin derogare de la prevederile art. 30 alin. (2) din Legea nr. 500/2002, cu modificările și completările ulterioare, în anul 2022, începând cu data intrării în vigoare a prezentei ordonanțe, din Fondul de rezervă bugetară la dispoziția Guvernului, prin hotărâre a Guvernului, pot fi alocate sume ordonatorilor principali de credite ai bugetului de stat și pentru finanțarea unor cheltuieli curente și de capital aferente obligațiilor de plată care nu pot fi asigurate din bugetul aprobat”.</w:t>
            </w:r>
            <w:bookmarkEnd w:id="0"/>
          </w:p>
        </w:tc>
      </w:tr>
      <w:tr w:rsidR="00C73CDD" w:rsidRPr="0098434E" w14:paraId="049F4368" w14:textId="77777777" w:rsidTr="00452D51">
        <w:trPr>
          <w:trHeight w:val="90"/>
        </w:trPr>
        <w:tc>
          <w:tcPr>
            <w:tcW w:w="851" w:type="dxa"/>
            <w:vAlign w:val="center"/>
          </w:tcPr>
          <w:p w14:paraId="3EB8EAE6" w14:textId="77777777" w:rsidR="00C73CDD" w:rsidRPr="0098434E" w:rsidRDefault="00C73CDD" w:rsidP="0098434E">
            <w:pPr>
              <w:spacing w:after="0" w:line="276" w:lineRule="auto"/>
              <w:jc w:val="right"/>
              <w:rPr>
                <w:rFonts w:ascii="Trebuchet MS" w:hAnsi="Trebuchet MS"/>
                <w:noProof/>
                <w:color w:val="000000"/>
                <w:vertAlign w:val="superscript"/>
                <w:lang w:val="ro-RO"/>
              </w:rPr>
            </w:pPr>
            <w:r w:rsidRPr="0098434E">
              <w:rPr>
                <w:rFonts w:ascii="Trebuchet MS" w:hAnsi="Trebuchet MS"/>
                <w:noProof/>
                <w:color w:val="000000"/>
                <w:lang w:val="ro-RO"/>
              </w:rPr>
              <w:t>2.2.</w:t>
            </w:r>
          </w:p>
        </w:tc>
        <w:tc>
          <w:tcPr>
            <w:tcW w:w="2693" w:type="dxa"/>
            <w:vAlign w:val="center"/>
          </w:tcPr>
          <w:p w14:paraId="57185F3B" w14:textId="77777777" w:rsidR="00C73CDD" w:rsidRPr="0098434E" w:rsidRDefault="00C73CDD" w:rsidP="0098434E">
            <w:pPr>
              <w:spacing w:after="0" w:line="276" w:lineRule="auto"/>
              <w:jc w:val="both"/>
              <w:rPr>
                <w:rFonts w:ascii="Trebuchet MS" w:hAnsi="Trebuchet MS"/>
                <w:noProof/>
                <w:color w:val="000000"/>
                <w:lang w:val="ro-RO"/>
              </w:rPr>
            </w:pPr>
            <w:r w:rsidRPr="0098434E">
              <w:rPr>
                <w:rFonts w:ascii="Trebuchet MS" w:eastAsia="Times New Roman" w:hAnsi="Trebuchet MS"/>
                <w:noProof/>
                <w:color w:val="000000"/>
                <w:lang w:val="ro-RO"/>
              </w:rPr>
              <w:t>Descrierea situaţiei actuale</w:t>
            </w:r>
          </w:p>
        </w:tc>
        <w:tc>
          <w:tcPr>
            <w:tcW w:w="7371" w:type="dxa"/>
            <w:gridSpan w:val="9"/>
          </w:tcPr>
          <w:p w14:paraId="18AA4E00" w14:textId="0029C085" w:rsidR="004F267E" w:rsidRPr="0098434E" w:rsidRDefault="004F267E" w:rsidP="0098434E">
            <w:pPr>
              <w:autoSpaceDE w:val="0"/>
              <w:autoSpaceDN w:val="0"/>
              <w:adjustRightInd w:val="0"/>
              <w:spacing w:after="0" w:line="276" w:lineRule="auto"/>
              <w:jc w:val="both"/>
              <w:rPr>
                <w:rFonts w:ascii="Trebuchet MS" w:hAnsi="Trebuchet MS"/>
                <w:lang w:val="ro-RO"/>
              </w:rPr>
            </w:pPr>
            <w:r w:rsidRPr="0098434E">
              <w:rPr>
                <w:rFonts w:ascii="Trebuchet MS" w:hAnsi="Trebuchet MS"/>
                <w:lang w:val="ro-RO"/>
              </w:rPr>
              <w:t xml:space="preserve">     </w:t>
            </w:r>
            <w:r w:rsidR="006C3636" w:rsidRPr="0098434E">
              <w:rPr>
                <w:rFonts w:ascii="Trebuchet MS" w:hAnsi="Trebuchet MS"/>
                <w:lang w:val="ro-RO"/>
              </w:rPr>
              <w:t xml:space="preserve">Ministerul Public </w:t>
            </w:r>
            <w:r w:rsidR="0098434E" w:rsidRPr="0098434E">
              <w:rPr>
                <w:rFonts w:ascii="Trebuchet MS" w:hAnsi="Trebuchet MS"/>
                <w:lang w:val="ro-RO"/>
              </w:rPr>
              <w:t>reprezintă</w:t>
            </w:r>
            <w:r w:rsidR="006C3636" w:rsidRPr="0098434E">
              <w:rPr>
                <w:rFonts w:ascii="Trebuchet MS" w:hAnsi="Trebuchet MS"/>
                <w:lang w:val="ro-RO"/>
              </w:rPr>
              <w:t>, în activitatea judiciar</w:t>
            </w:r>
            <w:r w:rsidR="00AA113B" w:rsidRPr="0098434E">
              <w:rPr>
                <w:rFonts w:ascii="Trebuchet MS" w:hAnsi="Trebuchet MS"/>
                <w:lang w:val="ro-RO"/>
              </w:rPr>
              <w:t>ă</w:t>
            </w:r>
            <w:r w:rsidR="006C3636" w:rsidRPr="0098434E">
              <w:rPr>
                <w:rFonts w:ascii="Trebuchet MS" w:hAnsi="Trebuchet MS"/>
                <w:lang w:val="ro-RO"/>
              </w:rPr>
              <w:t xml:space="preserve">, interesele generale ale societății și apară ordinea de drept, precum și drepturile și libertățile cetățenilor. Ministerul Public </w:t>
            </w:r>
            <w:r w:rsidRPr="0098434E">
              <w:rPr>
                <w:rFonts w:ascii="Trebuchet MS" w:hAnsi="Trebuchet MS"/>
                <w:lang w:val="ro-RO"/>
              </w:rPr>
              <w:t>îș</w:t>
            </w:r>
            <w:r w:rsidR="006C3636" w:rsidRPr="0098434E">
              <w:rPr>
                <w:rFonts w:ascii="Trebuchet MS" w:hAnsi="Trebuchet MS"/>
                <w:lang w:val="ro-RO"/>
              </w:rPr>
              <w:t>i exercit</w:t>
            </w:r>
            <w:r w:rsidRPr="0098434E">
              <w:rPr>
                <w:rFonts w:ascii="Trebuchet MS" w:hAnsi="Trebuchet MS"/>
                <w:lang w:val="ro-RO"/>
              </w:rPr>
              <w:t>ă</w:t>
            </w:r>
            <w:r w:rsidR="006C3636" w:rsidRPr="0098434E">
              <w:rPr>
                <w:rFonts w:ascii="Trebuchet MS" w:hAnsi="Trebuchet MS"/>
                <w:lang w:val="ro-RO"/>
              </w:rPr>
              <w:t xml:space="preserve"> atribu</w:t>
            </w:r>
            <w:r w:rsidRPr="0098434E">
              <w:rPr>
                <w:rFonts w:ascii="Trebuchet MS" w:hAnsi="Trebuchet MS"/>
                <w:lang w:val="ro-RO"/>
              </w:rPr>
              <w:t>ț</w:t>
            </w:r>
            <w:r w:rsidR="006C3636" w:rsidRPr="0098434E">
              <w:rPr>
                <w:rFonts w:ascii="Trebuchet MS" w:hAnsi="Trebuchet MS"/>
                <w:lang w:val="ro-RO"/>
              </w:rPr>
              <w:t>iile prin procurori constitui</w:t>
            </w:r>
            <w:r w:rsidRPr="0098434E">
              <w:rPr>
                <w:rFonts w:ascii="Trebuchet MS" w:hAnsi="Trebuchet MS"/>
                <w:lang w:val="ro-RO"/>
              </w:rPr>
              <w:t>ț</w:t>
            </w:r>
            <w:r w:rsidR="006C3636" w:rsidRPr="0098434E">
              <w:rPr>
                <w:rFonts w:ascii="Trebuchet MS" w:hAnsi="Trebuchet MS"/>
                <w:lang w:val="ro-RO"/>
              </w:rPr>
              <w:t xml:space="preserve">i </w:t>
            </w:r>
            <w:r w:rsidRPr="0098434E">
              <w:rPr>
                <w:rFonts w:ascii="Trebuchet MS" w:hAnsi="Trebuchet MS"/>
                <w:lang w:val="ro-RO"/>
              </w:rPr>
              <w:t>î</w:t>
            </w:r>
            <w:r w:rsidR="006C3636" w:rsidRPr="0098434E">
              <w:rPr>
                <w:rFonts w:ascii="Trebuchet MS" w:hAnsi="Trebuchet MS"/>
                <w:lang w:val="ro-RO"/>
              </w:rPr>
              <w:t xml:space="preserve">n parchete, conform </w:t>
            </w:r>
            <w:r w:rsidRPr="0098434E">
              <w:rPr>
                <w:rFonts w:ascii="Trebuchet MS" w:hAnsi="Trebuchet MS"/>
                <w:lang w:val="ro-RO"/>
              </w:rPr>
              <w:t>Legii nr. 304/2004 privind organizarea judiciară, cu modificările și completările ulterioare și a R</w:t>
            </w:r>
            <w:r w:rsidR="006C3636" w:rsidRPr="0098434E">
              <w:rPr>
                <w:rFonts w:ascii="Trebuchet MS" w:hAnsi="Trebuchet MS"/>
                <w:lang w:val="ro-RO"/>
              </w:rPr>
              <w:t>egulamentului de ordine interioar</w:t>
            </w:r>
            <w:r w:rsidRPr="0098434E">
              <w:rPr>
                <w:rFonts w:ascii="Trebuchet MS" w:hAnsi="Trebuchet MS"/>
                <w:lang w:val="ro-RO"/>
              </w:rPr>
              <w:t>ă</w:t>
            </w:r>
            <w:r w:rsidR="006C3636" w:rsidRPr="0098434E">
              <w:rPr>
                <w:rFonts w:ascii="Trebuchet MS" w:hAnsi="Trebuchet MS"/>
                <w:lang w:val="ro-RO"/>
              </w:rPr>
              <w:t xml:space="preserve"> al parchetelor</w:t>
            </w:r>
            <w:r w:rsidRPr="0098434E">
              <w:rPr>
                <w:rFonts w:ascii="Trebuchet MS" w:hAnsi="Trebuchet MS"/>
                <w:lang w:val="ro-RO"/>
              </w:rPr>
              <w:t xml:space="preserve"> aprobat prin Hotărârea Consiliului Superior al Magistraturii nr. 947/2019, cu modificările ulterioare.</w:t>
            </w:r>
          </w:p>
          <w:p w14:paraId="60AB4FFF" w14:textId="00990441" w:rsidR="002935FF" w:rsidRPr="0098434E" w:rsidRDefault="004F267E" w:rsidP="0098434E">
            <w:pPr>
              <w:autoSpaceDE w:val="0"/>
              <w:autoSpaceDN w:val="0"/>
              <w:adjustRightInd w:val="0"/>
              <w:spacing w:after="0" w:line="276" w:lineRule="auto"/>
              <w:jc w:val="both"/>
              <w:rPr>
                <w:rFonts w:ascii="Trebuchet MS" w:hAnsi="Trebuchet MS"/>
                <w:lang w:val="ro-RO"/>
              </w:rPr>
            </w:pPr>
            <w:r w:rsidRPr="0098434E">
              <w:rPr>
                <w:rFonts w:ascii="Trebuchet MS" w:hAnsi="Trebuchet MS"/>
                <w:lang w:val="ro-RO"/>
              </w:rPr>
              <w:t xml:space="preserve">     </w:t>
            </w:r>
            <w:r w:rsidR="006C3636" w:rsidRPr="0098434E">
              <w:rPr>
                <w:rFonts w:ascii="Trebuchet MS" w:hAnsi="Trebuchet MS"/>
                <w:lang w:val="ro-RO"/>
              </w:rPr>
              <w:t xml:space="preserve">Din punct de vedere fiscal-bugetar, misiunea Ministerului Public se </w:t>
            </w:r>
            <w:r w:rsidR="0098434E" w:rsidRPr="0098434E">
              <w:rPr>
                <w:rFonts w:ascii="Trebuchet MS" w:hAnsi="Trebuchet MS"/>
                <w:lang w:val="ro-RO"/>
              </w:rPr>
              <w:t>concretizează</w:t>
            </w:r>
            <w:r w:rsidR="006C3636" w:rsidRPr="0098434E">
              <w:rPr>
                <w:rFonts w:ascii="Trebuchet MS" w:hAnsi="Trebuchet MS"/>
                <w:lang w:val="ro-RO"/>
              </w:rPr>
              <w:t xml:space="preserve"> </w:t>
            </w:r>
            <w:r w:rsidRPr="0098434E">
              <w:rPr>
                <w:rFonts w:ascii="Trebuchet MS" w:hAnsi="Trebuchet MS"/>
                <w:lang w:val="ro-RO"/>
              </w:rPr>
              <w:t>î</w:t>
            </w:r>
            <w:r w:rsidR="006C3636" w:rsidRPr="0098434E">
              <w:rPr>
                <w:rFonts w:ascii="Trebuchet MS" w:hAnsi="Trebuchet MS"/>
                <w:lang w:val="ro-RO"/>
              </w:rPr>
              <w:t>n</w:t>
            </w:r>
            <w:r w:rsidRPr="0098434E">
              <w:rPr>
                <w:rFonts w:ascii="Trebuchet MS" w:hAnsi="Trebuchet MS"/>
                <w:lang w:val="ro-RO"/>
              </w:rPr>
              <w:t xml:space="preserve"> planificarea</w:t>
            </w:r>
            <w:r w:rsidR="006C3636" w:rsidRPr="0098434E">
              <w:rPr>
                <w:rFonts w:ascii="Trebuchet MS" w:hAnsi="Trebuchet MS"/>
                <w:lang w:val="ro-RO"/>
              </w:rPr>
              <w:t xml:space="preserve"> </w:t>
            </w:r>
            <w:r w:rsidRPr="0098434E">
              <w:rPr>
                <w:rFonts w:ascii="Trebuchet MS" w:hAnsi="Trebuchet MS"/>
                <w:lang w:val="ro-RO"/>
              </w:rPr>
              <w:t>ș</w:t>
            </w:r>
            <w:r w:rsidR="006C3636" w:rsidRPr="0098434E">
              <w:rPr>
                <w:rFonts w:ascii="Trebuchet MS" w:hAnsi="Trebuchet MS"/>
                <w:lang w:val="ro-RO"/>
              </w:rPr>
              <w:t>i fundamentarea optimal</w:t>
            </w:r>
            <w:r w:rsidR="005F2BBD" w:rsidRPr="0098434E">
              <w:rPr>
                <w:rFonts w:ascii="Trebuchet MS" w:hAnsi="Trebuchet MS"/>
                <w:lang w:val="ro-RO"/>
              </w:rPr>
              <w:t>ă</w:t>
            </w:r>
            <w:r w:rsidR="006C3636" w:rsidRPr="0098434E">
              <w:rPr>
                <w:rFonts w:ascii="Trebuchet MS" w:hAnsi="Trebuchet MS"/>
                <w:lang w:val="ro-RO"/>
              </w:rPr>
              <w:t xml:space="preserve"> a nevoilor </w:t>
            </w:r>
            <w:r w:rsidRPr="0098434E">
              <w:rPr>
                <w:rFonts w:ascii="Trebuchet MS" w:hAnsi="Trebuchet MS"/>
                <w:lang w:val="ro-RO"/>
              </w:rPr>
              <w:t>ș</w:t>
            </w:r>
            <w:r w:rsidR="006C3636" w:rsidRPr="0098434E">
              <w:rPr>
                <w:rFonts w:ascii="Trebuchet MS" w:hAnsi="Trebuchet MS"/>
                <w:lang w:val="ro-RO"/>
              </w:rPr>
              <w:t xml:space="preserve">i mijloacelor bugetare </w:t>
            </w:r>
            <w:r w:rsidRPr="0098434E">
              <w:rPr>
                <w:rFonts w:ascii="Trebuchet MS" w:hAnsi="Trebuchet MS"/>
                <w:lang w:val="ro-RO"/>
              </w:rPr>
              <w:t>ș</w:t>
            </w:r>
            <w:r w:rsidR="006C3636" w:rsidRPr="0098434E">
              <w:rPr>
                <w:rFonts w:ascii="Trebuchet MS" w:hAnsi="Trebuchet MS"/>
                <w:lang w:val="ro-RO"/>
              </w:rPr>
              <w:t xml:space="preserve">i logistice pentru a sprijini activitatea procurorilor </w:t>
            </w:r>
            <w:r w:rsidRPr="0098434E">
              <w:rPr>
                <w:rFonts w:ascii="Trebuchet MS" w:hAnsi="Trebuchet MS"/>
                <w:lang w:val="ro-RO"/>
              </w:rPr>
              <w:t>î</w:t>
            </w:r>
            <w:r w:rsidR="006C3636" w:rsidRPr="0098434E">
              <w:rPr>
                <w:rFonts w:ascii="Trebuchet MS" w:hAnsi="Trebuchet MS"/>
                <w:lang w:val="ro-RO"/>
              </w:rPr>
              <w:t>n demersul acestora de a</w:t>
            </w:r>
            <w:r w:rsidR="00AA113B" w:rsidRPr="0098434E">
              <w:rPr>
                <w:rFonts w:ascii="Trebuchet MS" w:hAnsi="Trebuchet MS"/>
                <w:lang w:val="ro-RO"/>
              </w:rPr>
              <w:t xml:space="preserve"> </w:t>
            </w:r>
            <w:r w:rsidR="006C3636" w:rsidRPr="0098434E">
              <w:rPr>
                <w:rFonts w:ascii="Trebuchet MS" w:hAnsi="Trebuchet MS"/>
                <w:lang w:val="ro-RO"/>
              </w:rPr>
              <w:t>asigura respectarea legii</w:t>
            </w:r>
            <w:r w:rsidRPr="0098434E">
              <w:rPr>
                <w:rFonts w:ascii="Trebuchet MS" w:hAnsi="Trebuchet MS"/>
                <w:lang w:val="ro-RO"/>
              </w:rPr>
              <w:t xml:space="preserve">, </w:t>
            </w:r>
            <w:r w:rsidR="006C3636" w:rsidRPr="0098434E">
              <w:rPr>
                <w:rFonts w:ascii="Trebuchet MS" w:hAnsi="Trebuchet MS"/>
                <w:lang w:val="ro-RO"/>
              </w:rPr>
              <w:t>folosirea eficient</w:t>
            </w:r>
            <w:r w:rsidRPr="0098434E">
              <w:rPr>
                <w:rFonts w:ascii="Trebuchet MS" w:hAnsi="Trebuchet MS"/>
                <w:lang w:val="ro-RO"/>
              </w:rPr>
              <w:t>ă</w:t>
            </w:r>
            <w:r w:rsidR="006C3636" w:rsidRPr="0098434E">
              <w:rPr>
                <w:rFonts w:ascii="Trebuchet MS" w:hAnsi="Trebuchet MS"/>
                <w:lang w:val="ro-RO"/>
              </w:rPr>
              <w:t xml:space="preserve"> </w:t>
            </w:r>
            <w:r w:rsidRPr="0098434E">
              <w:rPr>
                <w:rFonts w:ascii="Trebuchet MS" w:hAnsi="Trebuchet MS"/>
                <w:lang w:val="ro-RO"/>
              </w:rPr>
              <w:t>ș</w:t>
            </w:r>
            <w:r w:rsidR="006C3636" w:rsidRPr="0098434E">
              <w:rPr>
                <w:rFonts w:ascii="Trebuchet MS" w:hAnsi="Trebuchet MS"/>
                <w:lang w:val="ro-RO"/>
              </w:rPr>
              <w:t>i eficace a resurselor alocate</w:t>
            </w:r>
            <w:r w:rsidRPr="0098434E">
              <w:rPr>
                <w:rFonts w:ascii="Trebuchet MS" w:hAnsi="Trebuchet MS"/>
                <w:lang w:val="ro-RO"/>
              </w:rPr>
              <w:t>, precum și</w:t>
            </w:r>
            <w:r w:rsidR="006C3636" w:rsidRPr="0098434E">
              <w:rPr>
                <w:rFonts w:ascii="Trebuchet MS" w:hAnsi="Trebuchet MS"/>
                <w:lang w:val="ro-RO"/>
              </w:rPr>
              <w:t xml:space="preserve"> asigurarea transparen</w:t>
            </w:r>
            <w:r w:rsidRPr="0098434E">
              <w:rPr>
                <w:rFonts w:ascii="Trebuchet MS" w:hAnsi="Trebuchet MS"/>
                <w:lang w:val="ro-RO"/>
              </w:rPr>
              <w:t>ț</w:t>
            </w:r>
            <w:r w:rsidR="006C3636" w:rsidRPr="0098434E">
              <w:rPr>
                <w:rFonts w:ascii="Trebuchet MS" w:hAnsi="Trebuchet MS"/>
                <w:lang w:val="ro-RO"/>
              </w:rPr>
              <w:t xml:space="preserve">ei </w:t>
            </w:r>
            <w:r w:rsidRPr="0098434E">
              <w:rPr>
                <w:rFonts w:ascii="Trebuchet MS" w:hAnsi="Trebuchet MS"/>
                <w:lang w:val="ro-RO"/>
              </w:rPr>
              <w:t xml:space="preserve">în </w:t>
            </w:r>
            <w:r w:rsidR="006C3636" w:rsidRPr="0098434E">
              <w:rPr>
                <w:rFonts w:ascii="Trebuchet MS" w:hAnsi="Trebuchet MS"/>
                <w:lang w:val="ro-RO"/>
              </w:rPr>
              <w:t>utiliz</w:t>
            </w:r>
            <w:r w:rsidRPr="0098434E">
              <w:rPr>
                <w:rFonts w:ascii="Trebuchet MS" w:hAnsi="Trebuchet MS"/>
                <w:lang w:val="ro-RO"/>
              </w:rPr>
              <w:t>area</w:t>
            </w:r>
            <w:r w:rsidR="006C3636" w:rsidRPr="0098434E">
              <w:rPr>
                <w:rFonts w:ascii="Trebuchet MS" w:hAnsi="Trebuchet MS"/>
                <w:lang w:val="ro-RO"/>
              </w:rPr>
              <w:t xml:space="preserve"> fondurilor publice.</w:t>
            </w:r>
          </w:p>
          <w:p w14:paraId="5207419B" w14:textId="210A1821" w:rsidR="002935FF" w:rsidRPr="0098434E" w:rsidRDefault="002935FF" w:rsidP="0098434E">
            <w:pPr>
              <w:autoSpaceDE w:val="0"/>
              <w:autoSpaceDN w:val="0"/>
              <w:adjustRightInd w:val="0"/>
              <w:spacing w:after="0" w:line="276" w:lineRule="auto"/>
              <w:jc w:val="both"/>
              <w:rPr>
                <w:rFonts w:ascii="Trebuchet MS" w:hAnsi="Trebuchet MS"/>
                <w:lang w:val="ro-RO"/>
              </w:rPr>
            </w:pPr>
            <w:r w:rsidRPr="0098434E">
              <w:rPr>
                <w:rFonts w:ascii="Trebuchet MS" w:hAnsi="Trebuchet MS"/>
                <w:lang w:val="ro-RO"/>
              </w:rPr>
              <w:t xml:space="preserve">     </w:t>
            </w:r>
            <w:r w:rsidR="002F4A00" w:rsidRPr="0098434E">
              <w:rPr>
                <w:rFonts w:ascii="Trebuchet MS" w:hAnsi="Trebuchet MS"/>
                <w:lang w:val="ro-RO"/>
              </w:rPr>
              <w:t>Îndeplinirea obiectivelor asumate de Ministerul Public în procesul de reformă a</w:t>
            </w:r>
            <w:r w:rsidR="005E3697" w:rsidRPr="0098434E">
              <w:rPr>
                <w:rFonts w:ascii="Trebuchet MS" w:hAnsi="Trebuchet MS"/>
                <w:lang w:val="ro-RO"/>
              </w:rPr>
              <w:t xml:space="preserve"> sistemului judiciar </w:t>
            </w:r>
            <w:r w:rsidR="002F4A00" w:rsidRPr="0098434E">
              <w:rPr>
                <w:rFonts w:ascii="Trebuchet MS" w:hAnsi="Trebuchet MS"/>
                <w:lang w:val="ro-RO"/>
              </w:rPr>
              <w:t xml:space="preserve">creează premisele unei analize obiective a </w:t>
            </w:r>
            <w:r w:rsidR="0098434E" w:rsidRPr="0098434E">
              <w:rPr>
                <w:rFonts w:ascii="Trebuchet MS" w:hAnsi="Trebuchet MS"/>
                <w:lang w:val="ro-RO"/>
              </w:rPr>
              <w:t>necesităților</w:t>
            </w:r>
            <w:r w:rsidR="002F4A00" w:rsidRPr="0098434E">
              <w:rPr>
                <w:rFonts w:ascii="Trebuchet MS" w:hAnsi="Trebuchet MS"/>
                <w:lang w:val="ro-RO"/>
              </w:rPr>
              <w:t xml:space="preserve"> de fonduri solicitate de către ordonatorii de credite din subordinea Ministerului Public, cu impact favorabil în combaterea stării de </w:t>
            </w:r>
            <w:r w:rsidR="0098434E" w:rsidRPr="0098434E">
              <w:rPr>
                <w:rFonts w:ascii="Trebuchet MS" w:hAnsi="Trebuchet MS"/>
                <w:lang w:val="ro-RO"/>
              </w:rPr>
              <w:t>subfinanțare</w:t>
            </w:r>
            <w:r w:rsidR="002F4A00" w:rsidRPr="0098434E">
              <w:rPr>
                <w:rFonts w:ascii="Trebuchet MS" w:hAnsi="Trebuchet MS"/>
                <w:lang w:val="ro-RO"/>
              </w:rPr>
              <w:t xml:space="preserve"> a sistemului judiciar.</w:t>
            </w:r>
          </w:p>
          <w:p w14:paraId="77744420" w14:textId="6099C710" w:rsidR="001D03A0" w:rsidRPr="0098434E" w:rsidRDefault="002935FF" w:rsidP="0098434E">
            <w:pPr>
              <w:autoSpaceDE w:val="0"/>
              <w:autoSpaceDN w:val="0"/>
              <w:adjustRightInd w:val="0"/>
              <w:spacing w:after="0" w:line="276" w:lineRule="auto"/>
              <w:jc w:val="both"/>
              <w:rPr>
                <w:rFonts w:ascii="Trebuchet MS" w:hAnsi="Trebuchet MS"/>
                <w:lang w:val="ro-RO"/>
              </w:rPr>
            </w:pPr>
            <w:r w:rsidRPr="0098434E">
              <w:rPr>
                <w:rFonts w:ascii="Trebuchet MS" w:hAnsi="Trebuchet MS"/>
                <w:lang w:val="ro-RO"/>
              </w:rPr>
              <w:t xml:space="preserve">     În</w:t>
            </w:r>
            <w:r w:rsidR="006C3636" w:rsidRPr="0098434E">
              <w:rPr>
                <w:rFonts w:ascii="Trebuchet MS" w:hAnsi="Trebuchet MS"/>
                <w:lang w:val="ro-RO"/>
              </w:rPr>
              <w:t xml:space="preserve"> raport cu sarcinile ce revin Ministerului Public pentru realizarea reformei in </w:t>
            </w:r>
            <w:r w:rsidR="0098434E" w:rsidRPr="0098434E">
              <w:rPr>
                <w:rFonts w:ascii="Trebuchet MS" w:hAnsi="Trebuchet MS"/>
                <w:lang w:val="ro-RO"/>
              </w:rPr>
              <w:t>justiție</w:t>
            </w:r>
            <w:r w:rsidR="006C3636" w:rsidRPr="0098434E">
              <w:rPr>
                <w:rFonts w:ascii="Trebuchet MS" w:hAnsi="Trebuchet MS"/>
                <w:lang w:val="ro-RO"/>
              </w:rPr>
              <w:t xml:space="preserve">, </w:t>
            </w:r>
            <w:r w:rsidRPr="0098434E">
              <w:rPr>
                <w:rFonts w:ascii="Trebuchet MS" w:hAnsi="Trebuchet MS"/>
                <w:lang w:val="ro-RO"/>
              </w:rPr>
              <w:t>bugetul Ministerului Public pentru anul 2022 a fost întocmit pornind de satisfacerea nevoilor reale ale unităților de parchet din subordine</w:t>
            </w:r>
            <w:r w:rsidR="00975E24" w:rsidRPr="0098434E">
              <w:rPr>
                <w:rFonts w:ascii="Trebuchet MS" w:hAnsi="Trebuchet MS"/>
                <w:lang w:val="ro-RO"/>
              </w:rPr>
              <w:t>, urmărindu-se, cu prioritate, asigurarea fondurilor necesare desfășurării în condiții normale</w:t>
            </w:r>
            <w:r w:rsidR="00D9106A" w:rsidRPr="0098434E">
              <w:rPr>
                <w:rFonts w:ascii="Trebuchet MS" w:hAnsi="Trebuchet MS"/>
                <w:lang w:val="ro-RO"/>
              </w:rPr>
              <w:t xml:space="preserve"> </w:t>
            </w:r>
            <w:r w:rsidR="00975E24" w:rsidRPr="0098434E">
              <w:rPr>
                <w:rFonts w:ascii="Trebuchet MS" w:hAnsi="Trebuchet MS"/>
                <w:lang w:val="ro-RO"/>
              </w:rPr>
              <w:t>a</w:t>
            </w:r>
            <w:r w:rsidR="00D9106A" w:rsidRPr="0098434E">
              <w:rPr>
                <w:rFonts w:ascii="Trebuchet MS" w:hAnsi="Trebuchet MS"/>
                <w:lang w:val="ro-RO"/>
              </w:rPr>
              <w:t xml:space="preserve"> </w:t>
            </w:r>
            <w:r w:rsidR="00975E24" w:rsidRPr="0098434E">
              <w:rPr>
                <w:rFonts w:ascii="Trebuchet MS" w:hAnsi="Trebuchet MS"/>
                <w:lang w:val="ro-RO"/>
              </w:rPr>
              <w:t>activități</w:t>
            </w:r>
            <w:r w:rsidR="005F2BBD" w:rsidRPr="0098434E">
              <w:rPr>
                <w:rFonts w:ascii="Trebuchet MS" w:hAnsi="Trebuchet MS"/>
                <w:lang w:val="ro-RO"/>
              </w:rPr>
              <w:t>i</w:t>
            </w:r>
            <w:r w:rsidR="00975E24" w:rsidRPr="0098434E">
              <w:rPr>
                <w:rFonts w:ascii="Trebuchet MS" w:hAnsi="Trebuchet MS"/>
                <w:lang w:val="ro-RO"/>
              </w:rPr>
              <w:t xml:space="preserve"> specifice a procurorilor.</w:t>
            </w:r>
          </w:p>
          <w:p w14:paraId="7594F817" w14:textId="7846F27F" w:rsidR="001D03A0" w:rsidRPr="0098434E" w:rsidRDefault="001D03A0" w:rsidP="0098434E">
            <w:pPr>
              <w:autoSpaceDE w:val="0"/>
              <w:autoSpaceDN w:val="0"/>
              <w:adjustRightInd w:val="0"/>
              <w:spacing w:after="0" w:line="276" w:lineRule="auto"/>
              <w:jc w:val="both"/>
              <w:rPr>
                <w:rFonts w:ascii="Trebuchet MS" w:hAnsi="Trebuchet MS"/>
                <w:lang w:val="ro-RO"/>
              </w:rPr>
            </w:pPr>
            <w:r w:rsidRPr="0098434E">
              <w:rPr>
                <w:rFonts w:ascii="Trebuchet MS" w:hAnsi="Trebuchet MS"/>
                <w:lang w:val="ro-RO"/>
              </w:rPr>
              <w:t xml:space="preserve">     </w:t>
            </w:r>
            <w:r w:rsidR="00174FD8" w:rsidRPr="0098434E">
              <w:rPr>
                <w:rFonts w:ascii="Trebuchet MS" w:hAnsi="Trebuchet MS"/>
                <w:lang w:val="ro-RO"/>
              </w:rPr>
              <w:t xml:space="preserve">În vederea atingerii acestui obiectiv, procurorul general al Parchetului de pe lângă Înalta Curte de </w:t>
            </w:r>
            <w:r w:rsidR="0098434E" w:rsidRPr="0098434E">
              <w:rPr>
                <w:rFonts w:ascii="Trebuchet MS" w:hAnsi="Trebuchet MS"/>
                <w:lang w:val="ro-RO"/>
              </w:rPr>
              <w:t>Casație</w:t>
            </w:r>
            <w:r w:rsidR="00174FD8" w:rsidRPr="0098434E">
              <w:rPr>
                <w:rFonts w:ascii="Trebuchet MS" w:hAnsi="Trebuchet MS"/>
                <w:lang w:val="ro-RO"/>
              </w:rPr>
              <w:t xml:space="preserve"> și </w:t>
            </w:r>
            <w:r w:rsidR="0098434E" w:rsidRPr="0098434E">
              <w:rPr>
                <w:rFonts w:ascii="Trebuchet MS" w:hAnsi="Trebuchet MS"/>
                <w:lang w:val="ro-RO"/>
              </w:rPr>
              <w:t>Justiție</w:t>
            </w:r>
            <w:r w:rsidR="00174FD8" w:rsidRPr="0098434E">
              <w:rPr>
                <w:rFonts w:ascii="Trebuchet MS" w:hAnsi="Trebuchet MS"/>
                <w:lang w:val="ro-RO"/>
              </w:rPr>
              <w:t xml:space="preserve">, în calitatea sa de ordonator principal de credite, </w:t>
            </w:r>
            <w:r w:rsidR="00977191" w:rsidRPr="0098434E">
              <w:rPr>
                <w:rFonts w:ascii="Trebuchet MS" w:hAnsi="Trebuchet MS"/>
                <w:lang w:val="ro-RO"/>
              </w:rPr>
              <w:t>monitoriz</w:t>
            </w:r>
            <w:r w:rsidRPr="0098434E">
              <w:rPr>
                <w:rFonts w:ascii="Trebuchet MS" w:hAnsi="Trebuchet MS"/>
                <w:lang w:val="ro-RO"/>
              </w:rPr>
              <w:t xml:space="preserve">ează permanent </w:t>
            </w:r>
            <w:r w:rsidRPr="0098434E">
              <w:rPr>
                <w:rFonts w:ascii="Trebuchet MS" w:hAnsi="Trebuchet MS"/>
                <w:lang w:val="ro-RO"/>
              </w:rPr>
              <w:lastRenderedPageBreak/>
              <w:t>p</w:t>
            </w:r>
            <w:r w:rsidR="00977191" w:rsidRPr="0098434E">
              <w:rPr>
                <w:rFonts w:ascii="Trebuchet MS" w:hAnsi="Trebuchet MS"/>
                <w:lang w:val="ro-RO"/>
              </w:rPr>
              <w:t>erformanțe</w:t>
            </w:r>
            <w:r w:rsidRPr="0098434E">
              <w:rPr>
                <w:rFonts w:ascii="Trebuchet MS" w:hAnsi="Trebuchet MS"/>
                <w:lang w:val="ro-RO"/>
              </w:rPr>
              <w:t>le</w:t>
            </w:r>
            <w:r w:rsidR="00977191" w:rsidRPr="0098434E">
              <w:rPr>
                <w:rFonts w:ascii="Trebuchet MS" w:hAnsi="Trebuchet MS"/>
                <w:lang w:val="ro-RO"/>
              </w:rPr>
              <w:t xml:space="preserve"> financiare </w:t>
            </w:r>
            <w:r w:rsidRPr="0098434E">
              <w:rPr>
                <w:rFonts w:ascii="Trebuchet MS" w:hAnsi="Trebuchet MS"/>
                <w:lang w:val="ro-RO"/>
              </w:rPr>
              <w:t>ș</w:t>
            </w:r>
            <w:r w:rsidR="00977191" w:rsidRPr="0098434E">
              <w:rPr>
                <w:rFonts w:ascii="Trebuchet MS" w:hAnsi="Trebuchet MS"/>
                <w:lang w:val="ro-RO"/>
              </w:rPr>
              <w:t xml:space="preserve">i nefinanciare ale parchetelor aflate </w:t>
            </w:r>
            <w:r w:rsidRPr="0098434E">
              <w:rPr>
                <w:rFonts w:ascii="Trebuchet MS" w:hAnsi="Trebuchet MS"/>
                <w:lang w:val="ro-RO"/>
              </w:rPr>
              <w:t>î</w:t>
            </w:r>
            <w:r w:rsidR="00977191" w:rsidRPr="0098434E">
              <w:rPr>
                <w:rFonts w:ascii="Trebuchet MS" w:hAnsi="Trebuchet MS"/>
                <w:lang w:val="ro-RO"/>
              </w:rPr>
              <w:t>n subordonare, pentru a stabili dac</w:t>
            </w:r>
            <w:r w:rsidR="00AA113B" w:rsidRPr="0098434E">
              <w:rPr>
                <w:rFonts w:ascii="Trebuchet MS" w:hAnsi="Trebuchet MS"/>
                <w:lang w:val="ro-RO"/>
              </w:rPr>
              <w:t>ă</w:t>
            </w:r>
            <w:r w:rsidR="00977191" w:rsidRPr="0098434E">
              <w:rPr>
                <w:rFonts w:ascii="Trebuchet MS" w:hAnsi="Trebuchet MS"/>
                <w:lang w:val="ro-RO"/>
              </w:rPr>
              <w:t xml:space="preserve"> acestea corespund </w:t>
            </w:r>
            <w:r w:rsidRPr="0098434E">
              <w:rPr>
                <w:rFonts w:ascii="Trebuchet MS" w:hAnsi="Trebuchet MS"/>
                <w:lang w:val="ro-RO"/>
              </w:rPr>
              <w:t>ț</w:t>
            </w:r>
            <w:r w:rsidR="00977191" w:rsidRPr="0098434E">
              <w:rPr>
                <w:rFonts w:ascii="Trebuchet MS" w:hAnsi="Trebuchet MS"/>
                <w:lang w:val="ro-RO"/>
              </w:rPr>
              <w:t>intelor propuse,</w:t>
            </w:r>
            <w:r w:rsidRPr="0098434E">
              <w:rPr>
                <w:rFonts w:ascii="Trebuchet MS" w:hAnsi="Trebuchet MS"/>
                <w:lang w:val="ro-RO"/>
              </w:rPr>
              <w:t xml:space="preserve"> și</w:t>
            </w:r>
            <w:r w:rsidR="00977191" w:rsidRPr="0098434E">
              <w:rPr>
                <w:rFonts w:ascii="Trebuchet MS" w:hAnsi="Trebuchet MS"/>
                <w:lang w:val="ro-RO"/>
              </w:rPr>
              <w:t xml:space="preserve"> </w:t>
            </w:r>
            <w:r w:rsidR="00174FD8" w:rsidRPr="0098434E">
              <w:rPr>
                <w:rFonts w:ascii="Trebuchet MS" w:hAnsi="Trebuchet MS"/>
                <w:lang w:val="ro-RO"/>
              </w:rPr>
              <w:t>adoptă decizii</w:t>
            </w:r>
            <w:r w:rsidRPr="0098434E">
              <w:rPr>
                <w:rFonts w:ascii="Trebuchet MS" w:hAnsi="Trebuchet MS"/>
                <w:lang w:val="ro-RO"/>
              </w:rPr>
              <w:t xml:space="preserve"> în privința evitării unor situații de impas în cadrul parchetelor, prin evaluarea </w:t>
            </w:r>
            <w:r w:rsidR="00FE04F7" w:rsidRPr="0098434E">
              <w:rPr>
                <w:rFonts w:ascii="Trebuchet MS" w:hAnsi="Trebuchet MS"/>
                <w:lang w:val="ro-RO"/>
              </w:rPr>
              <w:t>obiectivă</w:t>
            </w:r>
            <w:r w:rsidRPr="0098434E">
              <w:rPr>
                <w:rFonts w:ascii="Trebuchet MS" w:hAnsi="Trebuchet MS"/>
                <w:lang w:val="ro-RO"/>
              </w:rPr>
              <w:t xml:space="preserve"> a nevoilor, dar și printr-o cheltuire responsabilă a banului public.</w:t>
            </w:r>
          </w:p>
          <w:p w14:paraId="3EE3E6A9" w14:textId="36C1AEDF" w:rsidR="00D77633" w:rsidRPr="0098434E" w:rsidRDefault="001D03A0" w:rsidP="0098434E">
            <w:pPr>
              <w:spacing w:after="0" w:line="276" w:lineRule="auto"/>
              <w:jc w:val="both"/>
              <w:rPr>
                <w:rFonts w:ascii="Trebuchet MS" w:hAnsi="Trebuchet MS"/>
                <w:lang w:val="ro-RO"/>
              </w:rPr>
            </w:pPr>
            <w:r w:rsidRPr="0098434E">
              <w:rPr>
                <w:rFonts w:ascii="Trebuchet MS" w:hAnsi="Trebuchet MS"/>
                <w:lang w:val="ro-RO"/>
              </w:rPr>
              <w:t xml:space="preserve">     </w:t>
            </w:r>
            <w:r w:rsidR="007E2465" w:rsidRPr="0098434E">
              <w:rPr>
                <w:rFonts w:ascii="Trebuchet MS" w:hAnsi="Trebuchet MS"/>
                <w:lang w:val="ro-RO"/>
              </w:rPr>
              <w:t xml:space="preserve">În context, analiza dispusă de ordonatorul principal de credite asupra bugetului rămas de utilizat la nivelul instituțiilor publice din subordine </w:t>
            </w:r>
            <w:r w:rsidR="00E00A7D" w:rsidRPr="0098434E">
              <w:rPr>
                <w:rFonts w:ascii="Trebuchet MS" w:hAnsi="Trebuchet MS"/>
                <w:lang w:val="ro-RO"/>
              </w:rPr>
              <w:t xml:space="preserve">până la finele anului 2022, la titlul 20 ,,Bunuri și servicii” </w:t>
            </w:r>
            <w:r w:rsidR="007E2465" w:rsidRPr="0098434E">
              <w:rPr>
                <w:rFonts w:ascii="Trebuchet MS" w:hAnsi="Trebuchet MS"/>
                <w:lang w:val="ro-RO"/>
              </w:rPr>
              <w:t xml:space="preserve">relevă </w:t>
            </w:r>
            <w:r w:rsidR="00EC0643" w:rsidRPr="0098434E">
              <w:rPr>
                <w:rFonts w:ascii="Trebuchet MS" w:hAnsi="Trebuchet MS"/>
                <w:lang w:val="ro-RO"/>
              </w:rPr>
              <w:t>necesitatea asigurării sumelor necesare pentru stingerea plăților restante înregistrate la 30 septembrie 2022, precum și pentru acoperirea deficitului de fonduri estimat la această natură de cheltuieli bu</w:t>
            </w:r>
            <w:r w:rsidR="000B29D0" w:rsidRPr="0098434E">
              <w:rPr>
                <w:rFonts w:ascii="Trebuchet MS" w:hAnsi="Trebuchet MS"/>
                <w:lang w:val="ro-RO"/>
              </w:rPr>
              <w:t xml:space="preserve">getare, reprezentând </w:t>
            </w:r>
            <w:r w:rsidR="00EC0643" w:rsidRPr="0098434E">
              <w:rPr>
                <w:rFonts w:ascii="Trebuchet MS" w:hAnsi="Trebuchet MS"/>
                <w:lang w:val="ro-RO"/>
              </w:rPr>
              <w:t xml:space="preserve"> </w:t>
            </w:r>
            <w:r w:rsidR="000B29D0" w:rsidRPr="0098434E">
              <w:rPr>
                <w:rFonts w:ascii="Trebuchet MS" w:hAnsi="Trebuchet MS"/>
                <w:lang w:val="ro-RO"/>
              </w:rPr>
              <w:t>cheltuieli aferente expertizelor judiciare și a celor cu onorariile avocaților care acordă asistență judiciară în cauzele penale, precum și cheltuieli</w:t>
            </w:r>
            <w:r w:rsidR="00D77633" w:rsidRPr="0098434E">
              <w:rPr>
                <w:rFonts w:ascii="Trebuchet MS" w:hAnsi="Trebuchet MS"/>
                <w:lang w:val="ro-RO"/>
              </w:rPr>
              <w:t xml:space="preserve"> pentru onorarea obligațiilor de plată către furnizorii de </w:t>
            </w:r>
            <w:r w:rsidR="005F2BBD" w:rsidRPr="0098434E">
              <w:rPr>
                <w:rFonts w:ascii="Trebuchet MS" w:hAnsi="Trebuchet MS"/>
                <w:lang w:val="ro-RO"/>
              </w:rPr>
              <w:t xml:space="preserve">utilități publice și de </w:t>
            </w:r>
            <w:r w:rsidR="00D77633" w:rsidRPr="0098434E">
              <w:rPr>
                <w:rFonts w:ascii="Trebuchet MS" w:hAnsi="Trebuchet MS"/>
                <w:lang w:val="ro-RO"/>
              </w:rPr>
              <w:t>servicii.</w:t>
            </w:r>
          </w:p>
          <w:p w14:paraId="2BF47833" w14:textId="71EDF4B0" w:rsidR="00D77633" w:rsidRPr="0098434E" w:rsidRDefault="00D77633" w:rsidP="0098434E">
            <w:pPr>
              <w:pStyle w:val="Style7"/>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Cheltuielile judiciare efectuate în cauzele penale instrumentate de procurori se stabilesc în temeiul </w:t>
            </w:r>
            <w:r w:rsidR="0098434E" w:rsidRPr="0098434E">
              <w:rPr>
                <w:rFonts w:ascii="Trebuchet MS" w:eastAsia="Calibri" w:hAnsi="Trebuchet MS"/>
                <w:sz w:val="22"/>
                <w:szCs w:val="22"/>
                <w:lang w:eastAsia="en-US"/>
              </w:rPr>
              <w:t>dispozițiilor</w:t>
            </w:r>
            <w:r w:rsidRPr="0098434E">
              <w:rPr>
                <w:rFonts w:ascii="Trebuchet MS" w:eastAsia="Calibri" w:hAnsi="Trebuchet MS"/>
                <w:sz w:val="22"/>
                <w:szCs w:val="22"/>
                <w:lang w:eastAsia="en-US"/>
              </w:rPr>
              <w:t xml:space="preserve"> art. 272-275 din Legea nr. 135/2010 - Codul de procedură penală, cu modificările </w:t>
            </w:r>
            <w:r w:rsidR="0098434E" w:rsidRPr="0098434E">
              <w:rPr>
                <w:rFonts w:ascii="Trebuchet MS" w:eastAsia="Calibri" w:hAnsi="Trebuchet MS"/>
                <w:sz w:val="22"/>
                <w:szCs w:val="22"/>
                <w:lang w:eastAsia="en-US"/>
              </w:rPr>
              <w:t>și</w:t>
            </w:r>
            <w:r w:rsidRPr="0098434E">
              <w:rPr>
                <w:rFonts w:ascii="Trebuchet MS" w:eastAsia="Calibri" w:hAnsi="Trebuchet MS"/>
                <w:sz w:val="22"/>
                <w:szCs w:val="22"/>
                <w:lang w:eastAsia="en-US"/>
              </w:rPr>
              <w:t xml:space="preserve"> completările ulterioare</w:t>
            </w:r>
            <w:r w:rsidR="00E427C1" w:rsidRPr="0098434E">
              <w:rPr>
                <w:rFonts w:ascii="Trebuchet MS" w:eastAsia="Calibri" w:hAnsi="Trebuchet MS"/>
                <w:sz w:val="22"/>
                <w:szCs w:val="22"/>
                <w:lang w:eastAsia="en-US"/>
              </w:rPr>
              <w:t>.</w:t>
            </w:r>
          </w:p>
          <w:p w14:paraId="5FDFD36F" w14:textId="77777777" w:rsidR="00A71FAE" w:rsidRPr="0098434E" w:rsidRDefault="00E427C1" w:rsidP="0098434E">
            <w:pPr>
              <w:pStyle w:val="Style7"/>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Calcularea cheltuielilor judiciare în fiecare cauză penală soluționată de procur</w:t>
            </w:r>
            <w:r w:rsidR="007164F9" w:rsidRPr="0098434E">
              <w:rPr>
                <w:rFonts w:ascii="Trebuchet MS" w:eastAsia="Calibri" w:hAnsi="Trebuchet MS"/>
                <w:sz w:val="22"/>
                <w:szCs w:val="22"/>
                <w:lang w:eastAsia="en-US"/>
              </w:rPr>
              <w:t>or</w:t>
            </w:r>
            <w:r w:rsidRPr="0098434E">
              <w:rPr>
                <w:rFonts w:ascii="Trebuchet MS" w:eastAsia="Calibri" w:hAnsi="Trebuchet MS"/>
                <w:sz w:val="22"/>
                <w:szCs w:val="22"/>
                <w:lang w:eastAsia="en-US"/>
              </w:rPr>
              <w:t xml:space="preserve"> se face la </w:t>
            </w:r>
            <w:r w:rsidR="007164F9" w:rsidRPr="0098434E">
              <w:rPr>
                <w:rFonts w:ascii="Trebuchet MS" w:eastAsia="Calibri" w:hAnsi="Trebuchet MS"/>
                <w:sz w:val="22"/>
                <w:szCs w:val="22"/>
                <w:lang w:eastAsia="en-US"/>
              </w:rPr>
              <w:t>finalizarea urmăririi penale</w:t>
            </w:r>
            <w:r w:rsidR="00A52B39" w:rsidRPr="0098434E">
              <w:rPr>
                <w:rFonts w:ascii="Trebuchet MS" w:eastAsia="Calibri" w:hAnsi="Trebuchet MS"/>
                <w:sz w:val="22"/>
                <w:szCs w:val="22"/>
                <w:lang w:eastAsia="en-US"/>
              </w:rPr>
              <w:t xml:space="preserve">, fapt ce explică caracterul orientativ al acestor cheltuieli, precum și </w:t>
            </w:r>
            <w:r w:rsidR="00A71FAE" w:rsidRPr="0098434E">
              <w:rPr>
                <w:rFonts w:ascii="Trebuchet MS" w:eastAsia="Calibri" w:hAnsi="Trebuchet MS"/>
                <w:sz w:val="22"/>
                <w:szCs w:val="22"/>
                <w:lang w:eastAsia="en-US"/>
              </w:rPr>
              <w:t>fundamentarea și cuprinderea în bugetul Ministerului Public pe anul 2022 a unui cuantum estimativ al acestora.</w:t>
            </w:r>
          </w:p>
          <w:p w14:paraId="2FC35319" w14:textId="3FFFC867" w:rsidR="00ED77A2" w:rsidRPr="0098434E" w:rsidRDefault="00A71FAE" w:rsidP="0098434E">
            <w:pPr>
              <w:pStyle w:val="Style7"/>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Drept urmare, </w:t>
            </w:r>
            <w:r w:rsidR="000168B7" w:rsidRPr="0098434E">
              <w:rPr>
                <w:rFonts w:ascii="Trebuchet MS" w:eastAsia="Calibri" w:hAnsi="Trebuchet MS"/>
                <w:sz w:val="22"/>
                <w:szCs w:val="22"/>
                <w:lang w:eastAsia="en-US"/>
              </w:rPr>
              <w:t xml:space="preserve">lipsa informațiilor destinate </w:t>
            </w:r>
            <w:r w:rsidR="00AA113B" w:rsidRPr="0098434E">
              <w:rPr>
                <w:rFonts w:ascii="Trebuchet MS" w:eastAsia="Calibri" w:hAnsi="Trebuchet MS"/>
                <w:sz w:val="22"/>
                <w:szCs w:val="22"/>
                <w:lang w:eastAsia="en-US"/>
              </w:rPr>
              <w:t xml:space="preserve">stabilirii și </w:t>
            </w:r>
            <w:r w:rsidR="000168B7" w:rsidRPr="0098434E">
              <w:rPr>
                <w:rFonts w:ascii="Trebuchet MS" w:eastAsia="Calibri" w:hAnsi="Trebuchet MS"/>
                <w:sz w:val="22"/>
                <w:szCs w:val="22"/>
                <w:lang w:eastAsia="en-US"/>
              </w:rPr>
              <w:t xml:space="preserve">previzionării </w:t>
            </w:r>
            <w:r w:rsidR="00AA113B" w:rsidRPr="0098434E">
              <w:rPr>
                <w:rFonts w:ascii="Trebuchet MS" w:eastAsia="Calibri" w:hAnsi="Trebuchet MS"/>
                <w:sz w:val="22"/>
                <w:szCs w:val="22"/>
                <w:lang w:eastAsia="en-US"/>
              </w:rPr>
              <w:t xml:space="preserve">în bugetul Ministerului Public pe anul 2022 a </w:t>
            </w:r>
            <w:r w:rsidR="000168B7" w:rsidRPr="0098434E">
              <w:rPr>
                <w:rFonts w:ascii="Trebuchet MS" w:eastAsia="Calibri" w:hAnsi="Trebuchet MS"/>
                <w:sz w:val="22"/>
                <w:szCs w:val="22"/>
                <w:lang w:eastAsia="en-US"/>
              </w:rPr>
              <w:t xml:space="preserve">necesarului de credite de angajament și credite bugetare </w:t>
            </w:r>
            <w:r w:rsidR="00ED77A2" w:rsidRPr="0098434E">
              <w:rPr>
                <w:rFonts w:ascii="Trebuchet MS" w:eastAsia="Calibri" w:hAnsi="Trebuchet MS"/>
                <w:sz w:val="22"/>
                <w:szCs w:val="22"/>
                <w:lang w:eastAsia="en-US"/>
              </w:rPr>
              <w:t>la cheltuieli judiciare,</w:t>
            </w:r>
            <w:r w:rsidR="000168B7" w:rsidRPr="0098434E">
              <w:rPr>
                <w:rFonts w:ascii="Trebuchet MS" w:eastAsia="Calibri" w:hAnsi="Trebuchet MS"/>
                <w:sz w:val="22"/>
                <w:szCs w:val="22"/>
                <w:lang w:eastAsia="en-US"/>
              </w:rPr>
              <w:t xml:space="preserve"> a condus la înregistrarea de plăți restante la 30.09.2022, iar </w:t>
            </w:r>
            <w:r w:rsidR="00ED77A2" w:rsidRPr="0098434E">
              <w:rPr>
                <w:rFonts w:ascii="Trebuchet MS" w:eastAsia="Calibri" w:hAnsi="Trebuchet MS"/>
                <w:sz w:val="22"/>
                <w:szCs w:val="22"/>
                <w:lang w:eastAsia="en-US"/>
              </w:rPr>
              <w:t xml:space="preserve">analiza efectuată asupra </w:t>
            </w:r>
            <w:r w:rsidR="000C1D33" w:rsidRPr="0098434E">
              <w:rPr>
                <w:rFonts w:ascii="Trebuchet MS" w:eastAsia="Calibri" w:hAnsi="Trebuchet MS"/>
                <w:sz w:val="22"/>
                <w:szCs w:val="22"/>
                <w:lang w:eastAsia="en-US"/>
              </w:rPr>
              <w:t>bugetul</w:t>
            </w:r>
            <w:r w:rsidR="00ED77A2" w:rsidRPr="0098434E">
              <w:rPr>
                <w:rFonts w:ascii="Trebuchet MS" w:eastAsia="Calibri" w:hAnsi="Trebuchet MS"/>
                <w:sz w:val="22"/>
                <w:szCs w:val="22"/>
                <w:lang w:eastAsia="en-US"/>
              </w:rPr>
              <w:t>ui</w:t>
            </w:r>
            <w:r w:rsidR="000C1D33" w:rsidRPr="0098434E">
              <w:rPr>
                <w:rFonts w:ascii="Trebuchet MS" w:eastAsia="Calibri" w:hAnsi="Trebuchet MS"/>
                <w:sz w:val="22"/>
                <w:szCs w:val="22"/>
                <w:lang w:eastAsia="en-US"/>
              </w:rPr>
              <w:t xml:space="preserve"> </w:t>
            </w:r>
            <w:r w:rsidR="00AA113B" w:rsidRPr="0098434E">
              <w:rPr>
                <w:rFonts w:ascii="Trebuchet MS" w:eastAsia="Calibri" w:hAnsi="Trebuchet MS"/>
                <w:sz w:val="22"/>
                <w:szCs w:val="22"/>
                <w:lang w:eastAsia="en-US"/>
              </w:rPr>
              <w:t>ordonatorului principal de credite,</w:t>
            </w:r>
            <w:r w:rsidR="000C1D33" w:rsidRPr="0098434E">
              <w:rPr>
                <w:rFonts w:ascii="Trebuchet MS" w:eastAsia="Calibri" w:hAnsi="Trebuchet MS"/>
                <w:sz w:val="22"/>
                <w:szCs w:val="22"/>
                <w:lang w:eastAsia="en-US"/>
              </w:rPr>
              <w:t xml:space="preserve"> </w:t>
            </w:r>
            <w:r w:rsidR="00ED77A2" w:rsidRPr="0098434E">
              <w:rPr>
                <w:rFonts w:ascii="Trebuchet MS" w:eastAsia="Calibri" w:hAnsi="Trebuchet MS"/>
                <w:sz w:val="22"/>
                <w:szCs w:val="22"/>
                <w:lang w:eastAsia="en-US"/>
              </w:rPr>
              <w:t xml:space="preserve">rămas de executat în </w:t>
            </w:r>
            <w:r w:rsidR="000C1D33" w:rsidRPr="0098434E">
              <w:rPr>
                <w:rFonts w:ascii="Trebuchet MS" w:eastAsia="Calibri" w:hAnsi="Trebuchet MS"/>
                <w:sz w:val="22"/>
                <w:szCs w:val="22"/>
                <w:lang w:eastAsia="en-US"/>
              </w:rPr>
              <w:t xml:space="preserve">ultimul trimestru al anului </w:t>
            </w:r>
            <w:r w:rsidR="00FE04F7" w:rsidRPr="0098434E">
              <w:rPr>
                <w:rFonts w:ascii="Trebuchet MS" w:eastAsia="Calibri" w:hAnsi="Trebuchet MS"/>
                <w:sz w:val="22"/>
                <w:szCs w:val="22"/>
                <w:lang w:eastAsia="en-US"/>
              </w:rPr>
              <w:t xml:space="preserve">2022 </w:t>
            </w:r>
            <w:r w:rsidR="00ED77A2" w:rsidRPr="0098434E">
              <w:rPr>
                <w:rFonts w:ascii="Trebuchet MS" w:eastAsia="Calibri" w:hAnsi="Trebuchet MS"/>
                <w:sz w:val="22"/>
                <w:szCs w:val="22"/>
                <w:lang w:eastAsia="en-US"/>
              </w:rPr>
              <w:t>evidențiază un deficit de fonduri la natura de cheltuieli menționată.</w:t>
            </w:r>
          </w:p>
          <w:p w14:paraId="719162A1" w14:textId="08E05C2B" w:rsidR="00C005EB" w:rsidRPr="0098434E" w:rsidRDefault="00C005EB" w:rsidP="0098434E">
            <w:pPr>
              <w:pStyle w:val="Style9"/>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Onorariile </w:t>
            </w:r>
            <w:r w:rsidR="0098434E" w:rsidRPr="0098434E">
              <w:rPr>
                <w:rFonts w:ascii="Trebuchet MS" w:eastAsia="Calibri" w:hAnsi="Trebuchet MS"/>
                <w:sz w:val="22"/>
                <w:szCs w:val="22"/>
                <w:lang w:eastAsia="en-US"/>
              </w:rPr>
              <w:t>avocaților</w:t>
            </w:r>
            <w:r w:rsidRPr="0098434E">
              <w:rPr>
                <w:rFonts w:ascii="Trebuchet MS" w:eastAsia="Calibri" w:hAnsi="Trebuchet MS"/>
                <w:sz w:val="22"/>
                <w:szCs w:val="22"/>
                <w:lang w:eastAsia="en-US"/>
              </w:rPr>
              <w:t xml:space="preserve"> pentru </w:t>
            </w:r>
            <w:r w:rsidR="0098434E" w:rsidRPr="0098434E">
              <w:rPr>
                <w:rFonts w:ascii="Trebuchet MS" w:eastAsia="Calibri" w:hAnsi="Trebuchet MS"/>
                <w:sz w:val="22"/>
                <w:szCs w:val="22"/>
                <w:lang w:eastAsia="en-US"/>
              </w:rPr>
              <w:t>asistență</w:t>
            </w:r>
            <w:r w:rsidRPr="0098434E">
              <w:rPr>
                <w:rFonts w:ascii="Trebuchet MS" w:eastAsia="Calibri" w:hAnsi="Trebuchet MS"/>
                <w:sz w:val="22"/>
                <w:szCs w:val="22"/>
                <w:lang w:eastAsia="en-US"/>
              </w:rPr>
              <w:t xml:space="preserve"> judiciară acordată din oficiu și limitele acestora</w:t>
            </w:r>
            <w:r w:rsidR="00A400F6" w:rsidRPr="0098434E">
              <w:rPr>
                <w:rFonts w:ascii="Trebuchet MS" w:eastAsia="Calibri" w:hAnsi="Trebuchet MS"/>
                <w:sz w:val="22"/>
                <w:szCs w:val="22"/>
                <w:lang w:eastAsia="en-US"/>
              </w:rPr>
              <w:t>, în cadrul sistemului de ajutor public judiciar,</w:t>
            </w:r>
            <w:r w:rsidRPr="0098434E">
              <w:rPr>
                <w:rFonts w:ascii="Trebuchet MS" w:eastAsia="Calibri" w:hAnsi="Trebuchet MS"/>
                <w:sz w:val="22"/>
                <w:szCs w:val="22"/>
                <w:lang w:eastAsia="en-US"/>
              </w:rPr>
              <w:t xml:space="preserve"> sunt cele stabilite potrivit legii</w:t>
            </w:r>
            <w:r w:rsidR="00FE04F7" w:rsidRPr="0098434E">
              <w:rPr>
                <w:rFonts w:ascii="Trebuchet MS" w:eastAsia="Calibri" w:hAnsi="Trebuchet MS"/>
                <w:sz w:val="22"/>
                <w:szCs w:val="22"/>
                <w:lang w:eastAsia="en-US"/>
              </w:rPr>
              <w:t>,</w:t>
            </w:r>
            <w:r w:rsidRPr="0098434E">
              <w:rPr>
                <w:rFonts w:ascii="Trebuchet MS" w:eastAsia="Calibri" w:hAnsi="Trebuchet MS"/>
                <w:sz w:val="22"/>
                <w:szCs w:val="22"/>
                <w:lang w:eastAsia="en-US"/>
              </w:rPr>
              <w:t xml:space="preserve"> prin protocolul încheiat între </w:t>
            </w:r>
            <w:r w:rsidR="001E6FE6" w:rsidRPr="0098434E">
              <w:rPr>
                <w:rFonts w:ascii="Trebuchet MS" w:eastAsia="Calibri" w:hAnsi="Trebuchet MS"/>
                <w:sz w:val="22"/>
                <w:szCs w:val="22"/>
                <w:lang w:eastAsia="en-US"/>
              </w:rPr>
              <w:t xml:space="preserve">Ministerul </w:t>
            </w:r>
            <w:r w:rsidR="0098434E" w:rsidRPr="0098434E">
              <w:rPr>
                <w:rFonts w:ascii="Trebuchet MS" w:eastAsia="Calibri" w:hAnsi="Trebuchet MS"/>
                <w:sz w:val="22"/>
                <w:szCs w:val="22"/>
                <w:lang w:eastAsia="en-US"/>
              </w:rPr>
              <w:t>Justiției</w:t>
            </w:r>
            <w:r w:rsidR="001E6FE6" w:rsidRPr="0098434E">
              <w:rPr>
                <w:rFonts w:ascii="Trebuchet MS" w:eastAsia="Calibri" w:hAnsi="Trebuchet MS"/>
                <w:sz w:val="22"/>
                <w:szCs w:val="22"/>
                <w:lang w:eastAsia="en-US"/>
              </w:rPr>
              <w:t xml:space="preserve">, Ministerul Public-Parchetul de pe lângă Înalta Curte de Casație și Justiție și </w:t>
            </w:r>
            <w:r w:rsidRPr="0098434E">
              <w:rPr>
                <w:rFonts w:ascii="Trebuchet MS" w:eastAsia="Calibri" w:hAnsi="Trebuchet MS"/>
                <w:sz w:val="22"/>
                <w:szCs w:val="22"/>
                <w:lang w:eastAsia="en-US"/>
              </w:rPr>
              <w:t>Uniunea Națională a Barourilor din România</w:t>
            </w:r>
            <w:r w:rsidR="001E6FE6" w:rsidRPr="0098434E">
              <w:rPr>
                <w:rFonts w:ascii="Trebuchet MS" w:eastAsia="Calibri" w:hAnsi="Trebuchet MS"/>
                <w:sz w:val="22"/>
                <w:szCs w:val="22"/>
                <w:lang w:eastAsia="en-US"/>
              </w:rPr>
              <w:t xml:space="preserve"> și</w:t>
            </w:r>
            <w:r w:rsidRPr="0098434E">
              <w:rPr>
                <w:rFonts w:ascii="Trebuchet MS" w:eastAsia="Calibri" w:hAnsi="Trebuchet MS"/>
                <w:sz w:val="22"/>
                <w:szCs w:val="22"/>
                <w:lang w:eastAsia="en-US"/>
              </w:rPr>
              <w:t xml:space="preserve"> se plătesc din fondurile bugetare alocate </w:t>
            </w:r>
            <w:r w:rsidR="001E6FE6" w:rsidRPr="0098434E">
              <w:rPr>
                <w:rFonts w:ascii="Trebuchet MS" w:eastAsia="Calibri" w:hAnsi="Trebuchet MS"/>
                <w:sz w:val="22"/>
                <w:szCs w:val="22"/>
                <w:lang w:eastAsia="en-US"/>
              </w:rPr>
              <w:t xml:space="preserve">Ministerului Public </w:t>
            </w:r>
            <w:r w:rsidRPr="0098434E">
              <w:rPr>
                <w:rFonts w:ascii="Trebuchet MS" w:eastAsia="Calibri" w:hAnsi="Trebuchet MS"/>
                <w:sz w:val="22"/>
                <w:szCs w:val="22"/>
                <w:lang w:eastAsia="en-US"/>
              </w:rPr>
              <w:t>în acest scop.</w:t>
            </w:r>
          </w:p>
          <w:p w14:paraId="3FC0092C" w14:textId="70438F88" w:rsidR="00DD6228" w:rsidRPr="0098434E" w:rsidRDefault="00611D52" w:rsidP="0098434E">
            <w:pPr>
              <w:pStyle w:val="Style9"/>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Cheltuielile care atestă prestații avocațiale pentru care se cuvine plata onorariilor se menționează de procurori în actele de urmărire</w:t>
            </w:r>
            <w:r w:rsidR="00360566" w:rsidRPr="0098434E">
              <w:rPr>
                <w:rFonts w:ascii="Trebuchet MS" w:eastAsia="Calibri" w:hAnsi="Trebuchet MS"/>
                <w:sz w:val="22"/>
                <w:szCs w:val="22"/>
                <w:lang w:eastAsia="en-US"/>
              </w:rPr>
              <w:t xml:space="preserve"> penală și nu se cuprind în cheltuielile judiciare calculate conform prevederilor art. 272-275 din Legea nr. 135/2010 - Codul de procedură penală. </w:t>
            </w:r>
          </w:p>
          <w:p w14:paraId="369248FE" w14:textId="143D8C44" w:rsidR="004D6689" w:rsidRPr="0098434E" w:rsidRDefault="00360566" w:rsidP="0098434E">
            <w:pPr>
              <w:pStyle w:val="Style9"/>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Conform protocolului, </w:t>
            </w:r>
            <w:r w:rsidR="00A85044" w:rsidRPr="0098434E">
              <w:rPr>
                <w:rFonts w:ascii="Trebuchet MS" w:eastAsia="Calibri" w:hAnsi="Trebuchet MS"/>
                <w:sz w:val="22"/>
                <w:szCs w:val="22"/>
                <w:lang w:eastAsia="en-US"/>
              </w:rPr>
              <w:t xml:space="preserve">decontarea </w:t>
            </w:r>
            <w:r w:rsidR="004D6689" w:rsidRPr="0098434E">
              <w:rPr>
                <w:rFonts w:ascii="Trebuchet MS" w:eastAsia="Calibri" w:hAnsi="Trebuchet MS"/>
                <w:sz w:val="22"/>
                <w:szCs w:val="22"/>
                <w:lang w:eastAsia="en-US"/>
              </w:rPr>
              <w:t xml:space="preserve">cheltuielilor cu </w:t>
            </w:r>
            <w:r w:rsidR="00A85044" w:rsidRPr="0098434E">
              <w:rPr>
                <w:rFonts w:ascii="Trebuchet MS" w:eastAsia="Calibri" w:hAnsi="Trebuchet MS"/>
                <w:sz w:val="22"/>
                <w:szCs w:val="22"/>
                <w:lang w:eastAsia="en-US"/>
              </w:rPr>
              <w:t>onorariil</w:t>
            </w:r>
            <w:r w:rsidR="004D6689" w:rsidRPr="0098434E">
              <w:rPr>
                <w:rFonts w:ascii="Trebuchet MS" w:eastAsia="Calibri" w:hAnsi="Trebuchet MS"/>
                <w:sz w:val="22"/>
                <w:szCs w:val="22"/>
                <w:lang w:eastAsia="en-US"/>
              </w:rPr>
              <w:t>e</w:t>
            </w:r>
            <w:r w:rsidR="00A85044" w:rsidRPr="0098434E">
              <w:rPr>
                <w:rFonts w:ascii="Trebuchet MS" w:eastAsia="Calibri" w:hAnsi="Trebuchet MS"/>
                <w:sz w:val="22"/>
                <w:szCs w:val="22"/>
                <w:lang w:eastAsia="en-US"/>
              </w:rPr>
              <w:t xml:space="preserve"> pentru activitățile avocațiale desfășurate în faza urmăririi penale, confirmate de procuror, se realizează numai după ce a fost parcursă în prealabil procedura de verificare și avizare a documentelor de către barou, fapt ce </w:t>
            </w:r>
            <w:r w:rsidR="00AA113B" w:rsidRPr="0098434E">
              <w:rPr>
                <w:rFonts w:ascii="Trebuchet MS" w:eastAsia="Calibri" w:hAnsi="Trebuchet MS"/>
                <w:sz w:val="22"/>
                <w:szCs w:val="22"/>
                <w:lang w:eastAsia="en-US"/>
              </w:rPr>
              <w:t>conferă acestor cheltuieli un caracter orientativ</w:t>
            </w:r>
            <w:r w:rsidR="00A85044" w:rsidRPr="0098434E">
              <w:rPr>
                <w:rFonts w:ascii="Trebuchet MS" w:eastAsia="Calibri" w:hAnsi="Trebuchet MS"/>
                <w:sz w:val="22"/>
                <w:szCs w:val="22"/>
                <w:lang w:eastAsia="en-US"/>
              </w:rPr>
              <w:t xml:space="preserve"> </w:t>
            </w:r>
            <w:r w:rsidR="004D6689" w:rsidRPr="0098434E">
              <w:rPr>
                <w:rFonts w:ascii="Trebuchet MS" w:eastAsia="Calibri" w:hAnsi="Trebuchet MS"/>
                <w:sz w:val="22"/>
                <w:szCs w:val="22"/>
                <w:lang w:eastAsia="en-US"/>
              </w:rPr>
              <w:t>ca și în cazul celorlalte cheltuieli judiciare</w:t>
            </w:r>
            <w:r w:rsidR="00AA113B" w:rsidRPr="0098434E">
              <w:rPr>
                <w:rFonts w:ascii="Trebuchet MS" w:eastAsia="Calibri" w:hAnsi="Trebuchet MS"/>
                <w:sz w:val="22"/>
                <w:szCs w:val="22"/>
                <w:lang w:eastAsia="en-US"/>
              </w:rPr>
              <w:t>.</w:t>
            </w:r>
          </w:p>
          <w:p w14:paraId="04C42CA6" w14:textId="2ED9F632" w:rsidR="00CA1BC6" w:rsidRPr="0098434E" w:rsidRDefault="004D6689" w:rsidP="0098434E">
            <w:pPr>
              <w:pStyle w:val="Style9"/>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lastRenderedPageBreak/>
              <w:t xml:space="preserve">     În </w:t>
            </w:r>
            <w:r w:rsidR="00A400F6" w:rsidRPr="0098434E">
              <w:rPr>
                <w:rFonts w:ascii="Trebuchet MS" w:eastAsia="Calibri" w:hAnsi="Trebuchet MS"/>
                <w:sz w:val="22"/>
                <w:szCs w:val="22"/>
                <w:lang w:eastAsia="en-US"/>
              </w:rPr>
              <w:t xml:space="preserve">practică, </w:t>
            </w:r>
            <w:r w:rsidR="00202100" w:rsidRPr="0098434E">
              <w:rPr>
                <w:rFonts w:ascii="Trebuchet MS" w:eastAsia="Calibri" w:hAnsi="Trebuchet MS"/>
                <w:sz w:val="22"/>
                <w:szCs w:val="22"/>
                <w:lang w:eastAsia="en-US"/>
              </w:rPr>
              <w:t xml:space="preserve">lipsa regularității efectuării cheltuielilor cu </w:t>
            </w:r>
            <w:r w:rsidR="00CA1BC6" w:rsidRPr="0098434E">
              <w:rPr>
                <w:rFonts w:ascii="Trebuchet MS" w:eastAsia="Calibri" w:hAnsi="Trebuchet MS"/>
                <w:sz w:val="22"/>
                <w:szCs w:val="22"/>
                <w:lang w:eastAsia="en-US"/>
              </w:rPr>
              <w:t xml:space="preserve">ajutorul public judiciar </w:t>
            </w:r>
            <w:r w:rsidR="00202100" w:rsidRPr="0098434E">
              <w:rPr>
                <w:rFonts w:ascii="Trebuchet MS" w:eastAsia="Calibri" w:hAnsi="Trebuchet MS"/>
                <w:sz w:val="22"/>
                <w:szCs w:val="22"/>
                <w:lang w:eastAsia="en-US"/>
              </w:rPr>
              <w:t xml:space="preserve">și implicit, imposibilitatea previzionării </w:t>
            </w:r>
            <w:r w:rsidR="00E5093E" w:rsidRPr="0098434E">
              <w:rPr>
                <w:rFonts w:ascii="Trebuchet MS" w:eastAsia="Calibri" w:hAnsi="Trebuchet MS"/>
                <w:sz w:val="22"/>
                <w:szCs w:val="22"/>
                <w:lang w:eastAsia="en-US"/>
              </w:rPr>
              <w:t xml:space="preserve">de către Ministerul Public în bugetul pe anul 2022 a </w:t>
            </w:r>
            <w:r w:rsidR="00202100" w:rsidRPr="0098434E">
              <w:rPr>
                <w:rFonts w:ascii="Trebuchet MS" w:eastAsia="Calibri" w:hAnsi="Trebuchet MS"/>
                <w:sz w:val="22"/>
                <w:szCs w:val="22"/>
                <w:lang w:eastAsia="en-US"/>
              </w:rPr>
              <w:t>resurselor financiare pentru</w:t>
            </w:r>
            <w:r w:rsidR="00E5093E" w:rsidRPr="0098434E">
              <w:rPr>
                <w:rFonts w:ascii="Trebuchet MS" w:eastAsia="Calibri" w:hAnsi="Trebuchet MS"/>
                <w:sz w:val="22"/>
                <w:szCs w:val="22"/>
                <w:lang w:eastAsia="en-US"/>
              </w:rPr>
              <w:t xml:space="preserve"> acoperirea</w:t>
            </w:r>
            <w:r w:rsidR="00202100" w:rsidRPr="0098434E">
              <w:rPr>
                <w:rFonts w:ascii="Trebuchet MS" w:eastAsia="Calibri" w:hAnsi="Trebuchet MS"/>
                <w:sz w:val="22"/>
                <w:szCs w:val="22"/>
                <w:lang w:eastAsia="en-US"/>
              </w:rPr>
              <w:t xml:space="preserve"> acestor cheltuieli</w:t>
            </w:r>
            <w:r w:rsidR="00E5093E" w:rsidRPr="0098434E">
              <w:rPr>
                <w:rFonts w:ascii="Trebuchet MS" w:eastAsia="Calibri" w:hAnsi="Trebuchet MS"/>
                <w:sz w:val="22"/>
                <w:szCs w:val="22"/>
                <w:lang w:eastAsia="en-US"/>
              </w:rPr>
              <w:t>, a</w:t>
            </w:r>
            <w:r w:rsidR="00FE04F7" w:rsidRPr="0098434E">
              <w:rPr>
                <w:rFonts w:ascii="Trebuchet MS" w:eastAsia="Calibri" w:hAnsi="Trebuchet MS"/>
                <w:sz w:val="22"/>
                <w:szCs w:val="22"/>
                <w:lang w:eastAsia="en-US"/>
              </w:rPr>
              <w:t>u</w:t>
            </w:r>
            <w:r w:rsidR="00202100" w:rsidRPr="0098434E">
              <w:rPr>
                <w:rFonts w:ascii="Trebuchet MS" w:eastAsia="Calibri" w:hAnsi="Trebuchet MS"/>
                <w:sz w:val="22"/>
                <w:szCs w:val="22"/>
                <w:lang w:eastAsia="en-US"/>
              </w:rPr>
              <w:t xml:space="preserve"> </w:t>
            </w:r>
            <w:r w:rsidR="00E5093E" w:rsidRPr="0098434E">
              <w:rPr>
                <w:rFonts w:ascii="Trebuchet MS" w:eastAsia="Calibri" w:hAnsi="Trebuchet MS"/>
                <w:sz w:val="22"/>
                <w:szCs w:val="22"/>
                <w:lang w:eastAsia="en-US"/>
              </w:rPr>
              <w:t>condus la înregistrarea de plăți restante la 30.09.2022 la nivelul</w:t>
            </w:r>
            <w:r w:rsidR="00202100" w:rsidRPr="0098434E">
              <w:rPr>
                <w:rFonts w:ascii="Trebuchet MS" w:eastAsia="Calibri" w:hAnsi="Trebuchet MS"/>
                <w:sz w:val="22"/>
                <w:szCs w:val="22"/>
                <w:lang w:eastAsia="en-US"/>
              </w:rPr>
              <w:t xml:space="preserve"> </w:t>
            </w:r>
            <w:r w:rsidR="00E5093E" w:rsidRPr="0098434E">
              <w:rPr>
                <w:rFonts w:ascii="Trebuchet MS" w:eastAsia="Calibri" w:hAnsi="Trebuchet MS"/>
                <w:sz w:val="22"/>
                <w:szCs w:val="22"/>
                <w:lang w:eastAsia="en-US"/>
              </w:rPr>
              <w:t>parchet</w:t>
            </w:r>
            <w:r w:rsidR="00CF5061" w:rsidRPr="0098434E">
              <w:rPr>
                <w:rFonts w:ascii="Trebuchet MS" w:eastAsia="Calibri" w:hAnsi="Trebuchet MS"/>
                <w:sz w:val="22"/>
                <w:szCs w:val="22"/>
                <w:lang w:eastAsia="en-US"/>
              </w:rPr>
              <w:t>elor</w:t>
            </w:r>
            <w:r w:rsidR="00E5093E" w:rsidRPr="0098434E">
              <w:rPr>
                <w:rFonts w:ascii="Trebuchet MS" w:eastAsia="Calibri" w:hAnsi="Trebuchet MS"/>
                <w:sz w:val="22"/>
                <w:szCs w:val="22"/>
                <w:lang w:eastAsia="en-US"/>
              </w:rPr>
              <w:t xml:space="preserve"> din subordine</w:t>
            </w:r>
            <w:r w:rsidR="00CC1AFF" w:rsidRPr="0098434E">
              <w:rPr>
                <w:rFonts w:ascii="Trebuchet MS" w:eastAsia="Calibri" w:hAnsi="Trebuchet MS"/>
                <w:sz w:val="22"/>
                <w:szCs w:val="22"/>
                <w:lang w:eastAsia="en-US"/>
              </w:rPr>
              <w:t>, cu afectare</w:t>
            </w:r>
            <w:r w:rsidR="00D9106A" w:rsidRPr="0098434E">
              <w:rPr>
                <w:rFonts w:ascii="Trebuchet MS" w:eastAsia="Calibri" w:hAnsi="Trebuchet MS"/>
                <w:sz w:val="22"/>
                <w:szCs w:val="22"/>
                <w:lang w:eastAsia="en-US"/>
              </w:rPr>
              <w:t>a</w:t>
            </w:r>
            <w:r w:rsidR="00CC1AFF" w:rsidRPr="0098434E">
              <w:rPr>
                <w:rFonts w:ascii="Trebuchet MS" w:eastAsia="Calibri" w:hAnsi="Trebuchet MS"/>
                <w:sz w:val="22"/>
                <w:szCs w:val="22"/>
                <w:lang w:eastAsia="en-US"/>
              </w:rPr>
              <w:t xml:space="preserve"> directă a prevederilor bugetare aprobate și neut</w:t>
            </w:r>
            <w:r w:rsidR="00F35A2A" w:rsidRPr="0098434E">
              <w:rPr>
                <w:rFonts w:ascii="Trebuchet MS" w:eastAsia="Calibri" w:hAnsi="Trebuchet MS"/>
                <w:sz w:val="22"/>
                <w:szCs w:val="22"/>
                <w:lang w:eastAsia="en-US"/>
              </w:rPr>
              <w:t>ilizate</w:t>
            </w:r>
            <w:r w:rsidR="00CC1AFF" w:rsidRPr="0098434E">
              <w:rPr>
                <w:rFonts w:ascii="Trebuchet MS" w:eastAsia="Calibri" w:hAnsi="Trebuchet MS"/>
                <w:sz w:val="22"/>
                <w:szCs w:val="22"/>
                <w:lang w:eastAsia="en-US"/>
              </w:rPr>
              <w:t xml:space="preserve"> pe trimestrul IV</w:t>
            </w:r>
            <w:r w:rsidR="00F35A2A" w:rsidRPr="0098434E">
              <w:rPr>
                <w:rFonts w:ascii="Trebuchet MS" w:eastAsia="Calibri" w:hAnsi="Trebuchet MS"/>
                <w:sz w:val="22"/>
                <w:szCs w:val="22"/>
                <w:lang w:eastAsia="en-US"/>
              </w:rPr>
              <w:t xml:space="preserve"> la natura de cheltuieli menționată.</w:t>
            </w:r>
            <w:r w:rsidR="00CC1AFF" w:rsidRPr="0098434E">
              <w:rPr>
                <w:rFonts w:ascii="Trebuchet MS" w:eastAsia="Calibri" w:hAnsi="Trebuchet MS"/>
                <w:sz w:val="22"/>
                <w:szCs w:val="22"/>
                <w:lang w:eastAsia="en-US"/>
              </w:rPr>
              <w:t xml:space="preserve"> </w:t>
            </w:r>
            <w:r w:rsidR="00400C54" w:rsidRPr="0098434E">
              <w:rPr>
                <w:rFonts w:ascii="Trebuchet MS" w:eastAsia="Calibri" w:hAnsi="Trebuchet MS"/>
                <w:sz w:val="22"/>
                <w:szCs w:val="22"/>
                <w:lang w:eastAsia="en-US"/>
              </w:rPr>
              <w:t xml:space="preserve"> </w:t>
            </w:r>
          </w:p>
          <w:p w14:paraId="33CC1795" w14:textId="1E8B7131" w:rsidR="0063034B" w:rsidRPr="0098434E" w:rsidRDefault="00914C73" w:rsidP="0098434E">
            <w:pPr>
              <w:pStyle w:val="Style9"/>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w:t>
            </w:r>
            <w:r w:rsidR="00F35A2A" w:rsidRPr="0098434E">
              <w:rPr>
                <w:rFonts w:ascii="Trebuchet MS" w:eastAsia="Calibri" w:hAnsi="Trebuchet MS"/>
                <w:sz w:val="22"/>
                <w:szCs w:val="22"/>
                <w:lang w:eastAsia="en-US"/>
              </w:rPr>
              <w:t>Precizăm</w:t>
            </w:r>
            <w:r w:rsidR="00CA1BC6" w:rsidRPr="0098434E">
              <w:rPr>
                <w:rFonts w:ascii="Trebuchet MS" w:eastAsia="Calibri" w:hAnsi="Trebuchet MS"/>
                <w:sz w:val="22"/>
                <w:szCs w:val="22"/>
                <w:lang w:eastAsia="en-US"/>
              </w:rPr>
              <w:t xml:space="preserve"> că</w:t>
            </w:r>
            <w:r w:rsidR="00F35A2A" w:rsidRPr="0098434E">
              <w:rPr>
                <w:rFonts w:ascii="Trebuchet MS" w:eastAsia="Calibri" w:hAnsi="Trebuchet MS"/>
                <w:sz w:val="22"/>
                <w:szCs w:val="22"/>
                <w:lang w:eastAsia="en-US"/>
              </w:rPr>
              <w:t>,</w:t>
            </w:r>
            <w:r w:rsidR="00D9106A" w:rsidRPr="0098434E">
              <w:rPr>
                <w:rFonts w:ascii="Trebuchet MS" w:eastAsia="Calibri" w:hAnsi="Trebuchet MS"/>
                <w:sz w:val="22"/>
                <w:szCs w:val="22"/>
                <w:lang w:eastAsia="en-US"/>
              </w:rPr>
              <w:t xml:space="preserve"> </w:t>
            </w:r>
            <w:r w:rsidR="00CA1BC6" w:rsidRPr="0098434E">
              <w:rPr>
                <w:rFonts w:ascii="Trebuchet MS" w:eastAsia="Calibri" w:hAnsi="Trebuchet MS"/>
                <w:sz w:val="22"/>
                <w:szCs w:val="22"/>
                <w:lang w:eastAsia="en-US"/>
              </w:rPr>
              <w:t xml:space="preserve">situația cuprinzând obligațiile de plată aferente ajutorului public judiciar aflate în evidența barourilor locale, restante la 30 septembrie 2022, </w:t>
            </w:r>
            <w:r w:rsidRPr="0098434E">
              <w:rPr>
                <w:rFonts w:ascii="Trebuchet MS" w:eastAsia="Calibri" w:hAnsi="Trebuchet MS"/>
                <w:sz w:val="22"/>
                <w:szCs w:val="22"/>
                <w:lang w:eastAsia="en-US"/>
              </w:rPr>
              <w:t xml:space="preserve">a fost semnalată </w:t>
            </w:r>
            <w:r w:rsidR="00D9106A" w:rsidRPr="0098434E">
              <w:rPr>
                <w:rFonts w:ascii="Trebuchet MS" w:eastAsia="Calibri" w:hAnsi="Trebuchet MS"/>
                <w:sz w:val="22"/>
                <w:szCs w:val="22"/>
                <w:lang w:eastAsia="en-US"/>
              </w:rPr>
              <w:t>și de către Uniunea Națională a Barourilor din România, fiind</w:t>
            </w:r>
            <w:r w:rsidRPr="0098434E">
              <w:rPr>
                <w:rFonts w:ascii="Trebuchet MS" w:eastAsia="Calibri" w:hAnsi="Trebuchet MS"/>
                <w:sz w:val="22"/>
                <w:szCs w:val="22"/>
                <w:lang w:eastAsia="en-US"/>
              </w:rPr>
              <w:t xml:space="preserve"> comunicată procurorului general al Parchetul de pe lângă Înalta Curte de Casație și Justiție</w:t>
            </w:r>
            <w:r w:rsidR="00D9106A" w:rsidRPr="0098434E">
              <w:rPr>
                <w:rFonts w:ascii="Trebuchet MS" w:eastAsia="Calibri" w:hAnsi="Trebuchet MS"/>
                <w:sz w:val="22"/>
                <w:szCs w:val="22"/>
                <w:lang w:eastAsia="en-US"/>
              </w:rPr>
              <w:t xml:space="preserve"> cu adresa nr. </w:t>
            </w:r>
            <w:r w:rsidR="0063034B" w:rsidRPr="0098434E">
              <w:rPr>
                <w:rFonts w:ascii="Trebuchet MS" w:eastAsia="Calibri" w:hAnsi="Trebuchet MS"/>
                <w:sz w:val="22"/>
                <w:szCs w:val="22"/>
                <w:lang w:eastAsia="en-US"/>
              </w:rPr>
              <w:t>28-DCAJ-2022 din 07.10.2022.</w:t>
            </w:r>
          </w:p>
          <w:p w14:paraId="4C62A7B0" w14:textId="78C189B0" w:rsidR="004F1D65" w:rsidRPr="0098434E" w:rsidRDefault="00F35A2A" w:rsidP="0098434E">
            <w:pPr>
              <w:pStyle w:val="Style9"/>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w:t>
            </w:r>
            <w:r w:rsidR="004F1D65" w:rsidRPr="0098434E">
              <w:rPr>
                <w:rFonts w:ascii="Trebuchet MS" w:eastAsia="Calibri" w:hAnsi="Trebuchet MS"/>
                <w:sz w:val="22"/>
                <w:szCs w:val="22"/>
                <w:lang w:eastAsia="en-US"/>
              </w:rPr>
              <w:t>Realizarea</w:t>
            </w:r>
            <w:r w:rsidRPr="0098434E">
              <w:rPr>
                <w:rFonts w:ascii="Trebuchet MS" w:eastAsia="Calibri" w:hAnsi="Trebuchet MS"/>
                <w:sz w:val="22"/>
                <w:szCs w:val="22"/>
                <w:lang w:eastAsia="en-US"/>
              </w:rPr>
              <w:t xml:space="preserve"> activități</w:t>
            </w:r>
            <w:r w:rsidR="004F1D65" w:rsidRPr="0098434E">
              <w:rPr>
                <w:rFonts w:ascii="Trebuchet MS" w:eastAsia="Calibri" w:hAnsi="Trebuchet MS"/>
                <w:sz w:val="22"/>
                <w:szCs w:val="22"/>
                <w:lang w:eastAsia="en-US"/>
              </w:rPr>
              <w:t>lor</w:t>
            </w:r>
            <w:r w:rsidRPr="0098434E">
              <w:rPr>
                <w:rFonts w:ascii="Trebuchet MS" w:eastAsia="Calibri" w:hAnsi="Trebuchet MS"/>
                <w:sz w:val="22"/>
                <w:szCs w:val="22"/>
                <w:lang w:eastAsia="en-US"/>
              </w:rPr>
              <w:t xml:space="preserve"> </w:t>
            </w:r>
            <w:r w:rsidR="00965FA1" w:rsidRPr="0098434E">
              <w:rPr>
                <w:rFonts w:ascii="Trebuchet MS" w:eastAsia="Calibri" w:hAnsi="Trebuchet MS"/>
                <w:sz w:val="22"/>
                <w:szCs w:val="22"/>
                <w:lang w:eastAsia="en-US"/>
              </w:rPr>
              <w:t>operative a</w:t>
            </w:r>
            <w:r w:rsidR="004F1D65" w:rsidRPr="0098434E">
              <w:rPr>
                <w:rFonts w:ascii="Trebuchet MS" w:eastAsia="Calibri" w:hAnsi="Trebuchet MS"/>
                <w:sz w:val="22"/>
                <w:szCs w:val="22"/>
                <w:lang w:eastAsia="en-US"/>
              </w:rPr>
              <w:t>le</w:t>
            </w:r>
            <w:r w:rsidR="00965FA1" w:rsidRPr="0098434E">
              <w:rPr>
                <w:rFonts w:ascii="Trebuchet MS" w:eastAsia="Calibri" w:hAnsi="Trebuchet MS"/>
                <w:sz w:val="22"/>
                <w:szCs w:val="22"/>
                <w:lang w:eastAsia="en-US"/>
              </w:rPr>
              <w:t xml:space="preserve"> </w:t>
            </w:r>
            <w:r w:rsidRPr="0098434E">
              <w:rPr>
                <w:rFonts w:ascii="Trebuchet MS" w:eastAsia="Calibri" w:hAnsi="Trebuchet MS"/>
                <w:sz w:val="22"/>
                <w:szCs w:val="22"/>
                <w:lang w:eastAsia="en-US"/>
              </w:rPr>
              <w:t>procurorilor în procesul de soluționare a cauzelor penale presupune</w:t>
            </w:r>
            <w:r w:rsidR="00965FA1" w:rsidRPr="0098434E">
              <w:rPr>
                <w:rFonts w:ascii="Trebuchet MS" w:eastAsia="Calibri" w:hAnsi="Trebuchet MS"/>
                <w:sz w:val="22"/>
                <w:szCs w:val="22"/>
                <w:lang w:eastAsia="en-US"/>
              </w:rPr>
              <w:t xml:space="preserve"> și</w:t>
            </w:r>
            <w:r w:rsidRPr="0098434E">
              <w:rPr>
                <w:rFonts w:ascii="Trebuchet MS" w:eastAsia="Calibri" w:hAnsi="Trebuchet MS"/>
                <w:sz w:val="22"/>
                <w:szCs w:val="22"/>
                <w:lang w:eastAsia="en-US"/>
              </w:rPr>
              <w:t xml:space="preserve"> asigurarea</w:t>
            </w:r>
            <w:r w:rsidR="00242724" w:rsidRPr="0098434E">
              <w:rPr>
                <w:rFonts w:ascii="Trebuchet MS" w:eastAsia="Calibri" w:hAnsi="Trebuchet MS"/>
                <w:sz w:val="22"/>
                <w:szCs w:val="22"/>
                <w:lang w:eastAsia="en-US"/>
              </w:rPr>
              <w:t xml:space="preserve"> fondurilor bugetare necesare organizării și </w:t>
            </w:r>
            <w:r w:rsidR="004F1D65" w:rsidRPr="0098434E">
              <w:rPr>
                <w:rFonts w:ascii="Trebuchet MS" w:eastAsia="Calibri" w:hAnsi="Trebuchet MS"/>
                <w:sz w:val="22"/>
                <w:szCs w:val="22"/>
                <w:lang w:eastAsia="en-US"/>
              </w:rPr>
              <w:t>desfășurării în condiții normale ale acestor activități.</w:t>
            </w:r>
          </w:p>
          <w:p w14:paraId="647C854A" w14:textId="77777777" w:rsidR="007745FD" w:rsidRPr="0098434E" w:rsidRDefault="00BE1ECA" w:rsidP="0098434E">
            <w:pPr>
              <w:pStyle w:val="Style9"/>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w:t>
            </w:r>
            <w:r w:rsidR="007745FD" w:rsidRPr="0098434E">
              <w:rPr>
                <w:rFonts w:ascii="Trebuchet MS" w:eastAsia="Calibri" w:hAnsi="Trebuchet MS"/>
                <w:sz w:val="22"/>
                <w:szCs w:val="22"/>
                <w:lang w:eastAsia="en-US"/>
              </w:rPr>
              <w:t>Desfășurarea în bune condiții a procesului penal necesită pe lângă cheltuielile judiciare specifice enumerate și o serie de cheltuieli administrative care contribuie la instrumentarea în bune condiții a cauzelor penale, în speță cheltuielile legate de furnizarea utilităților publice și a serviciilor de întreținere și funcționare.</w:t>
            </w:r>
          </w:p>
          <w:p w14:paraId="0FEFFBE5" w14:textId="7276BF3E" w:rsidR="00C73CDD" w:rsidRPr="0098434E" w:rsidRDefault="007745FD" w:rsidP="0098434E">
            <w:pPr>
              <w:pStyle w:val="Style9"/>
              <w:widowControl/>
              <w:spacing w:line="276" w:lineRule="auto"/>
              <w:jc w:val="both"/>
              <w:rPr>
                <w:rFonts w:ascii="Trebuchet MS" w:eastAsia="Calibri" w:hAnsi="Trebuchet MS"/>
                <w:sz w:val="22"/>
                <w:szCs w:val="22"/>
                <w:lang w:eastAsia="en-US"/>
              </w:rPr>
            </w:pPr>
            <w:r w:rsidRPr="0098434E">
              <w:rPr>
                <w:rFonts w:ascii="Trebuchet MS" w:eastAsia="Calibri" w:hAnsi="Trebuchet MS"/>
                <w:sz w:val="22"/>
                <w:szCs w:val="22"/>
                <w:lang w:eastAsia="en-US"/>
              </w:rPr>
              <w:t xml:space="preserve">     Creșterea volumului dosarelor penale aflate în lucru și a complexității acestor dosare, precum și majorarea </w:t>
            </w:r>
            <w:r w:rsidR="00880C21" w:rsidRPr="0098434E">
              <w:rPr>
                <w:rFonts w:ascii="Trebuchet MS" w:eastAsia="Calibri" w:hAnsi="Trebuchet MS"/>
                <w:sz w:val="22"/>
                <w:szCs w:val="22"/>
                <w:lang w:eastAsia="en-US"/>
              </w:rPr>
              <w:t>cu aproximativ 60%</w:t>
            </w:r>
            <w:r w:rsidRPr="0098434E">
              <w:rPr>
                <w:rFonts w:ascii="Trebuchet MS" w:eastAsia="Calibri" w:hAnsi="Trebuchet MS"/>
                <w:sz w:val="22"/>
                <w:szCs w:val="22"/>
                <w:lang w:eastAsia="en-US"/>
              </w:rPr>
              <w:t xml:space="preserve"> a prețurilor la utilități și </w:t>
            </w:r>
            <w:r w:rsidR="00D9106A" w:rsidRPr="0098434E">
              <w:rPr>
                <w:rFonts w:ascii="Trebuchet MS" w:eastAsia="Calibri" w:hAnsi="Trebuchet MS"/>
                <w:sz w:val="22"/>
                <w:szCs w:val="22"/>
                <w:lang w:eastAsia="en-US"/>
              </w:rPr>
              <w:t xml:space="preserve">cu </w:t>
            </w:r>
            <w:r w:rsidR="005658E8" w:rsidRPr="0098434E">
              <w:rPr>
                <w:rFonts w:ascii="Trebuchet MS" w:eastAsia="Calibri" w:hAnsi="Trebuchet MS"/>
                <w:sz w:val="22"/>
                <w:szCs w:val="22"/>
                <w:lang w:eastAsia="en-US"/>
              </w:rPr>
              <w:t>35-40</w:t>
            </w:r>
            <w:r w:rsidR="00D9106A" w:rsidRPr="0098434E">
              <w:rPr>
                <w:rFonts w:ascii="Trebuchet MS" w:eastAsia="Calibri" w:hAnsi="Trebuchet MS"/>
                <w:sz w:val="22"/>
                <w:szCs w:val="22"/>
                <w:lang w:eastAsia="en-US"/>
              </w:rPr>
              <w:t xml:space="preserve">% </w:t>
            </w:r>
            <w:r w:rsidRPr="0098434E">
              <w:rPr>
                <w:rFonts w:ascii="Trebuchet MS" w:eastAsia="Calibri" w:hAnsi="Trebuchet MS"/>
                <w:sz w:val="22"/>
                <w:szCs w:val="22"/>
                <w:lang w:eastAsia="en-US"/>
              </w:rPr>
              <w:t>a tarifelor aferente serviciilor</w:t>
            </w:r>
            <w:r w:rsidR="00CF5061" w:rsidRPr="0098434E">
              <w:rPr>
                <w:rFonts w:ascii="Trebuchet MS" w:eastAsia="Calibri" w:hAnsi="Trebuchet MS"/>
                <w:sz w:val="22"/>
                <w:szCs w:val="22"/>
                <w:lang w:eastAsia="en-US"/>
              </w:rPr>
              <w:t>,</w:t>
            </w:r>
            <w:r w:rsidRPr="0098434E">
              <w:rPr>
                <w:rFonts w:ascii="Trebuchet MS" w:eastAsia="Calibri" w:hAnsi="Trebuchet MS"/>
                <w:sz w:val="22"/>
                <w:szCs w:val="22"/>
                <w:lang w:eastAsia="en-US"/>
              </w:rPr>
              <w:t xml:space="preserve"> </w:t>
            </w:r>
            <w:r w:rsidR="00CF5061" w:rsidRPr="0098434E">
              <w:rPr>
                <w:rFonts w:ascii="Trebuchet MS" w:eastAsia="Calibri" w:hAnsi="Trebuchet MS"/>
                <w:sz w:val="22"/>
                <w:szCs w:val="22"/>
                <w:lang w:eastAsia="en-US"/>
              </w:rPr>
              <w:t>înregistrate la nivelul parchetelor</w:t>
            </w:r>
            <w:r w:rsidR="00880C21" w:rsidRPr="0098434E">
              <w:rPr>
                <w:rFonts w:ascii="Trebuchet MS" w:eastAsia="Calibri" w:hAnsi="Trebuchet MS"/>
                <w:sz w:val="22"/>
                <w:szCs w:val="22"/>
                <w:lang w:eastAsia="en-US"/>
              </w:rPr>
              <w:t>,</w:t>
            </w:r>
            <w:r w:rsidRPr="0098434E">
              <w:rPr>
                <w:rFonts w:ascii="Trebuchet MS" w:eastAsia="Calibri" w:hAnsi="Trebuchet MS"/>
                <w:sz w:val="22"/>
                <w:szCs w:val="22"/>
                <w:lang w:eastAsia="en-US"/>
              </w:rPr>
              <w:t xml:space="preserve"> a</w:t>
            </w:r>
            <w:r w:rsidR="00880C21" w:rsidRPr="0098434E">
              <w:rPr>
                <w:rFonts w:ascii="Trebuchet MS" w:eastAsia="Calibri" w:hAnsi="Trebuchet MS"/>
                <w:sz w:val="22"/>
                <w:szCs w:val="22"/>
                <w:lang w:eastAsia="en-US"/>
              </w:rPr>
              <w:t>u</w:t>
            </w:r>
            <w:r w:rsidRPr="0098434E">
              <w:rPr>
                <w:rFonts w:ascii="Trebuchet MS" w:eastAsia="Calibri" w:hAnsi="Trebuchet MS"/>
                <w:sz w:val="22"/>
                <w:szCs w:val="22"/>
                <w:lang w:eastAsia="en-US"/>
              </w:rPr>
              <w:t xml:space="preserve"> </w:t>
            </w:r>
            <w:r w:rsidR="00880C21" w:rsidRPr="0098434E">
              <w:rPr>
                <w:rFonts w:ascii="Trebuchet MS" w:eastAsia="Calibri" w:hAnsi="Trebuchet MS"/>
                <w:sz w:val="22"/>
                <w:szCs w:val="22"/>
                <w:lang w:eastAsia="en-US"/>
              </w:rPr>
              <w:t xml:space="preserve">avut drept consecință un consum semnificativ de fonduri cu această destinație </w:t>
            </w:r>
            <w:r w:rsidR="008A1090" w:rsidRPr="0098434E">
              <w:rPr>
                <w:rFonts w:ascii="Trebuchet MS" w:eastAsia="Calibri" w:hAnsi="Trebuchet MS"/>
                <w:sz w:val="22"/>
                <w:szCs w:val="22"/>
                <w:lang w:eastAsia="en-US"/>
              </w:rPr>
              <w:t>pe primele 9 luni ale anului 2022,</w:t>
            </w:r>
            <w:r w:rsidR="00880C21" w:rsidRPr="0098434E">
              <w:rPr>
                <w:rFonts w:ascii="Trebuchet MS" w:eastAsia="Calibri" w:hAnsi="Trebuchet MS"/>
                <w:sz w:val="22"/>
                <w:szCs w:val="22"/>
                <w:lang w:eastAsia="en-US"/>
              </w:rPr>
              <w:t xml:space="preserve"> bugetul </w:t>
            </w:r>
            <w:r w:rsidR="00CF5061" w:rsidRPr="0098434E">
              <w:rPr>
                <w:rFonts w:ascii="Trebuchet MS" w:eastAsia="Calibri" w:hAnsi="Trebuchet MS"/>
                <w:sz w:val="22"/>
                <w:szCs w:val="22"/>
                <w:lang w:eastAsia="en-US"/>
              </w:rPr>
              <w:t xml:space="preserve">Ministerului Public </w:t>
            </w:r>
            <w:r w:rsidR="008A1090" w:rsidRPr="0098434E">
              <w:rPr>
                <w:rFonts w:ascii="Trebuchet MS" w:eastAsia="Calibri" w:hAnsi="Trebuchet MS"/>
                <w:sz w:val="22"/>
                <w:szCs w:val="22"/>
                <w:lang w:eastAsia="en-US"/>
              </w:rPr>
              <w:t xml:space="preserve">rămas de utilizat </w:t>
            </w:r>
            <w:r w:rsidR="007933BE" w:rsidRPr="0098434E">
              <w:rPr>
                <w:rFonts w:ascii="Trebuchet MS" w:eastAsia="Calibri" w:hAnsi="Trebuchet MS"/>
                <w:sz w:val="22"/>
                <w:szCs w:val="22"/>
                <w:lang w:eastAsia="en-US"/>
              </w:rPr>
              <w:t xml:space="preserve">în trimestrul IV a.c. fiind insuficient </w:t>
            </w:r>
            <w:r w:rsidR="008A1090" w:rsidRPr="0098434E">
              <w:rPr>
                <w:rFonts w:ascii="Trebuchet MS" w:eastAsia="Calibri" w:hAnsi="Trebuchet MS"/>
                <w:sz w:val="22"/>
                <w:szCs w:val="22"/>
                <w:lang w:eastAsia="en-US"/>
              </w:rPr>
              <w:t>pentru efectuarea cheltuielilor de această natură</w:t>
            </w:r>
            <w:r w:rsidR="007933BE" w:rsidRPr="0098434E">
              <w:rPr>
                <w:rFonts w:ascii="Trebuchet MS" w:eastAsia="Calibri" w:hAnsi="Trebuchet MS"/>
                <w:sz w:val="22"/>
                <w:szCs w:val="22"/>
                <w:lang w:eastAsia="en-US"/>
              </w:rPr>
              <w:t>.</w:t>
            </w:r>
            <w:r w:rsidR="008A1090" w:rsidRPr="0098434E">
              <w:rPr>
                <w:rFonts w:ascii="Trebuchet MS" w:eastAsia="Calibri" w:hAnsi="Trebuchet MS"/>
                <w:sz w:val="22"/>
                <w:szCs w:val="22"/>
                <w:lang w:eastAsia="en-US"/>
              </w:rPr>
              <w:t xml:space="preserve"> </w:t>
            </w:r>
          </w:p>
        </w:tc>
      </w:tr>
      <w:tr w:rsidR="00C73CDD" w:rsidRPr="0098434E" w14:paraId="0F82F496" w14:textId="77777777" w:rsidTr="002F1F21">
        <w:trPr>
          <w:trHeight w:val="90"/>
        </w:trPr>
        <w:tc>
          <w:tcPr>
            <w:tcW w:w="851" w:type="dxa"/>
            <w:vAlign w:val="center"/>
          </w:tcPr>
          <w:p w14:paraId="6CE99DA2" w14:textId="77777777" w:rsidR="00C73CDD" w:rsidRPr="0098434E" w:rsidRDefault="00C73CDD" w:rsidP="0098434E">
            <w:pPr>
              <w:spacing w:after="0" w:line="276" w:lineRule="auto"/>
              <w:jc w:val="right"/>
              <w:rPr>
                <w:rFonts w:ascii="Trebuchet MS" w:hAnsi="Trebuchet MS"/>
                <w:noProof/>
                <w:color w:val="000000"/>
                <w:lang w:val="ro-RO"/>
              </w:rPr>
            </w:pPr>
            <w:r w:rsidRPr="0098434E">
              <w:rPr>
                <w:rFonts w:ascii="Trebuchet MS" w:hAnsi="Trebuchet MS"/>
                <w:noProof/>
                <w:color w:val="000000"/>
                <w:lang w:val="ro-RO"/>
              </w:rPr>
              <w:lastRenderedPageBreak/>
              <w:t>2.3.</w:t>
            </w:r>
          </w:p>
        </w:tc>
        <w:tc>
          <w:tcPr>
            <w:tcW w:w="2693" w:type="dxa"/>
            <w:vAlign w:val="center"/>
          </w:tcPr>
          <w:p w14:paraId="59513A2C" w14:textId="77777777" w:rsidR="00C73CDD" w:rsidRPr="0098434E" w:rsidRDefault="00C73CDD" w:rsidP="0098434E">
            <w:pPr>
              <w:spacing w:after="0" w:line="276" w:lineRule="auto"/>
              <w:jc w:val="both"/>
              <w:rPr>
                <w:rFonts w:ascii="Trebuchet MS" w:hAnsi="Trebuchet MS"/>
                <w:noProof/>
                <w:color w:val="000000"/>
                <w:lang w:val="ro-RO"/>
              </w:rPr>
            </w:pPr>
            <w:r w:rsidRPr="0098434E">
              <w:rPr>
                <w:rFonts w:ascii="Trebuchet MS" w:hAnsi="Trebuchet MS"/>
                <w:iCs/>
                <w:noProof/>
                <w:color w:val="000000"/>
                <w:lang w:val="ro-RO"/>
              </w:rPr>
              <w:t>Schimbări</w:t>
            </w:r>
            <w:r w:rsidRPr="0098434E">
              <w:rPr>
                <w:rFonts w:ascii="Trebuchet MS" w:eastAsia="Times New Roman" w:hAnsi="Trebuchet MS"/>
                <w:noProof/>
                <w:color w:val="000000"/>
                <w:lang w:val="ro-RO"/>
              </w:rPr>
              <w:t xml:space="preserve"> preconizate</w:t>
            </w:r>
          </w:p>
        </w:tc>
        <w:tc>
          <w:tcPr>
            <w:tcW w:w="7371" w:type="dxa"/>
            <w:gridSpan w:val="9"/>
            <w:vAlign w:val="center"/>
          </w:tcPr>
          <w:p w14:paraId="6A13AA8E" w14:textId="3596DCA9" w:rsidR="00C73CDD" w:rsidRPr="0098434E" w:rsidRDefault="000C499F" w:rsidP="0098434E">
            <w:pPr>
              <w:autoSpaceDE w:val="0"/>
              <w:autoSpaceDN w:val="0"/>
              <w:adjustRightInd w:val="0"/>
              <w:spacing w:after="0" w:line="276" w:lineRule="auto"/>
              <w:jc w:val="both"/>
              <w:rPr>
                <w:rFonts w:ascii="Trebuchet MS" w:hAnsi="Trebuchet MS"/>
                <w:lang w:val="ro-RO"/>
              </w:rPr>
            </w:pPr>
            <w:r w:rsidRPr="0098434E">
              <w:rPr>
                <w:rFonts w:ascii="Trebuchet MS" w:hAnsi="Trebuchet MS"/>
                <w:lang w:val="ro-RO"/>
              </w:rPr>
              <w:t xml:space="preserve">     </w:t>
            </w:r>
            <w:r w:rsidR="00C73CDD" w:rsidRPr="0098434E">
              <w:rPr>
                <w:rFonts w:ascii="Trebuchet MS" w:hAnsi="Trebuchet MS"/>
                <w:lang w:val="ro-RO"/>
              </w:rPr>
              <w:t xml:space="preserve">Având în vedere faptul că </w:t>
            </w:r>
            <w:r w:rsidR="00636750" w:rsidRPr="0098434E">
              <w:rPr>
                <w:rFonts w:ascii="Trebuchet MS" w:hAnsi="Trebuchet MS"/>
                <w:lang w:val="ro-RO"/>
              </w:rPr>
              <w:t>unitățile de parchet din subordinea Ministerului Public nu dispun de fondurile necesare achitării sumelor</w:t>
            </w:r>
            <w:r w:rsidRPr="0098434E">
              <w:rPr>
                <w:rFonts w:ascii="Trebuchet MS" w:hAnsi="Trebuchet MS"/>
                <w:lang w:val="ro-RO"/>
              </w:rPr>
              <w:t xml:space="preserve"> de natura bunurilor și serviciilor prevăzute la punctul 2.2., în temeiul art. 42 din Ordonanța Guvernului nr. 19/2022 cu privire la rectificarea bugetului de stat pe anul 2022,</w:t>
            </w:r>
            <w:r w:rsidR="00636750" w:rsidRPr="0098434E">
              <w:rPr>
                <w:rFonts w:ascii="Trebuchet MS" w:hAnsi="Trebuchet MS"/>
                <w:lang w:val="ro-RO"/>
              </w:rPr>
              <w:t xml:space="preserve"> </w:t>
            </w:r>
            <w:r w:rsidRPr="0098434E">
              <w:rPr>
                <w:rFonts w:ascii="Trebuchet MS" w:hAnsi="Trebuchet MS"/>
                <w:lang w:val="ro-RO"/>
              </w:rPr>
              <w:t xml:space="preserve">prin prezentul act normativ </w:t>
            </w:r>
            <w:r w:rsidR="00EB2F1C" w:rsidRPr="0098434E">
              <w:rPr>
                <w:rFonts w:ascii="Trebuchet MS" w:hAnsi="Trebuchet MS"/>
                <w:lang w:val="ro-RO"/>
              </w:rPr>
              <w:t>se propune alocarea sumei de 9.8</w:t>
            </w:r>
            <w:r w:rsidRPr="0098434E">
              <w:rPr>
                <w:rFonts w:ascii="Trebuchet MS" w:hAnsi="Trebuchet MS"/>
                <w:lang w:val="ro-RO"/>
              </w:rPr>
              <w:t xml:space="preserve">00 mii lei </w:t>
            </w:r>
            <w:r w:rsidR="005F2BBD" w:rsidRPr="0098434E">
              <w:rPr>
                <w:rFonts w:ascii="Trebuchet MS" w:hAnsi="Trebuchet MS"/>
                <w:lang w:val="ro-RO"/>
              </w:rPr>
              <w:t xml:space="preserve">pentru </w:t>
            </w:r>
            <w:r w:rsidR="00D2123F" w:rsidRPr="0098434E">
              <w:rPr>
                <w:rFonts w:ascii="Trebuchet MS" w:hAnsi="Trebuchet MS"/>
                <w:lang w:val="ro-RO"/>
              </w:rPr>
              <w:t xml:space="preserve">achitarea plăților restante înregistrate în execuția anului 2022, precum și finanțarea cheltuielilor de natura bunurilor și serviciilor până la finele anului 2022. </w:t>
            </w:r>
          </w:p>
        </w:tc>
      </w:tr>
      <w:tr w:rsidR="00C73CDD" w:rsidRPr="0098434E" w14:paraId="3DB17D30" w14:textId="77777777" w:rsidTr="002F1F21">
        <w:trPr>
          <w:trHeight w:val="90"/>
        </w:trPr>
        <w:tc>
          <w:tcPr>
            <w:tcW w:w="851" w:type="dxa"/>
            <w:vAlign w:val="center"/>
          </w:tcPr>
          <w:p w14:paraId="2DEDE0A8" w14:textId="77777777" w:rsidR="00C73CDD" w:rsidRPr="0098434E" w:rsidRDefault="00C73CDD" w:rsidP="0098434E">
            <w:pPr>
              <w:spacing w:after="0" w:line="276" w:lineRule="auto"/>
              <w:jc w:val="right"/>
              <w:rPr>
                <w:rFonts w:ascii="Trebuchet MS" w:hAnsi="Trebuchet MS"/>
                <w:bCs/>
                <w:noProof/>
                <w:color w:val="000000"/>
                <w:lang w:val="ro-RO"/>
              </w:rPr>
            </w:pPr>
            <w:r w:rsidRPr="0098434E">
              <w:rPr>
                <w:rFonts w:ascii="Trebuchet MS" w:hAnsi="Trebuchet MS"/>
                <w:bCs/>
                <w:noProof/>
                <w:color w:val="000000"/>
                <w:lang w:val="ro-RO"/>
              </w:rPr>
              <w:t>2.4.</w:t>
            </w:r>
          </w:p>
        </w:tc>
        <w:tc>
          <w:tcPr>
            <w:tcW w:w="2693" w:type="dxa"/>
            <w:vAlign w:val="center"/>
          </w:tcPr>
          <w:p w14:paraId="19D04F6C" w14:textId="77777777" w:rsidR="00C73CDD" w:rsidRPr="0098434E" w:rsidRDefault="00C73CDD" w:rsidP="0098434E">
            <w:pPr>
              <w:spacing w:after="0" w:line="276" w:lineRule="auto"/>
              <w:rPr>
                <w:rFonts w:ascii="Trebuchet MS" w:hAnsi="Trebuchet MS"/>
                <w:bCs/>
                <w:noProof/>
                <w:color w:val="000000"/>
                <w:lang w:val="ro-RO"/>
              </w:rPr>
            </w:pPr>
            <w:r w:rsidRPr="0098434E">
              <w:rPr>
                <w:rFonts w:ascii="Trebuchet MS" w:eastAsia="Times New Roman" w:hAnsi="Trebuchet MS"/>
                <w:bCs/>
                <w:noProof/>
                <w:color w:val="000000"/>
                <w:lang w:val="ro-RO"/>
              </w:rPr>
              <w:t>Alte informaţii</w:t>
            </w:r>
          </w:p>
        </w:tc>
        <w:tc>
          <w:tcPr>
            <w:tcW w:w="7371" w:type="dxa"/>
            <w:gridSpan w:val="9"/>
            <w:vAlign w:val="center"/>
          </w:tcPr>
          <w:p w14:paraId="318A2077" w14:textId="77777777" w:rsidR="00C73CDD" w:rsidRPr="0098434E" w:rsidRDefault="00C73CDD" w:rsidP="0098434E">
            <w:pPr>
              <w:spacing w:after="0" w:line="276" w:lineRule="auto"/>
              <w:jc w:val="both"/>
              <w:rPr>
                <w:rFonts w:ascii="Trebuchet MS" w:eastAsia="Times New Roman" w:hAnsi="Trebuchet MS"/>
                <w:color w:val="000000"/>
                <w:lang w:val="ro-RO" w:eastAsia="ro-RO"/>
              </w:rPr>
            </w:pPr>
            <w:r w:rsidRPr="0098434E">
              <w:rPr>
                <w:rFonts w:ascii="Trebuchet MS" w:eastAsia="Times New Roman" w:hAnsi="Trebuchet MS"/>
                <w:color w:val="000000"/>
                <w:lang w:val="ro-RO" w:eastAsia="ro-RO"/>
              </w:rPr>
              <w:t xml:space="preserve">      -</w:t>
            </w:r>
          </w:p>
          <w:p w14:paraId="50C0D2E9" w14:textId="77777777" w:rsidR="005A3511" w:rsidRPr="0098434E" w:rsidRDefault="005A3511" w:rsidP="0098434E">
            <w:pPr>
              <w:spacing w:after="0" w:line="276" w:lineRule="auto"/>
              <w:jc w:val="both"/>
              <w:rPr>
                <w:rFonts w:ascii="Trebuchet MS" w:eastAsia="Times New Roman" w:hAnsi="Trebuchet MS"/>
                <w:color w:val="000000"/>
                <w:lang w:val="ro-RO" w:eastAsia="ro-RO"/>
              </w:rPr>
            </w:pPr>
          </w:p>
          <w:p w14:paraId="4421164F" w14:textId="77777777" w:rsidR="005A3511" w:rsidRPr="0098434E" w:rsidRDefault="005A3511" w:rsidP="0098434E">
            <w:pPr>
              <w:spacing w:after="0" w:line="276" w:lineRule="auto"/>
              <w:jc w:val="both"/>
              <w:rPr>
                <w:rFonts w:ascii="Trebuchet MS" w:eastAsia="Times New Roman" w:hAnsi="Trebuchet MS"/>
                <w:color w:val="000000"/>
                <w:lang w:val="ro-RO" w:eastAsia="ro-RO"/>
              </w:rPr>
            </w:pPr>
          </w:p>
          <w:p w14:paraId="31CBEA6C" w14:textId="77777777" w:rsidR="005A3511" w:rsidRPr="0098434E" w:rsidRDefault="005A3511" w:rsidP="0098434E">
            <w:pPr>
              <w:spacing w:after="0" w:line="276" w:lineRule="auto"/>
              <w:jc w:val="both"/>
              <w:rPr>
                <w:rFonts w:ascii="Trebuchet MS" w:eastAsia="Times New Roman" w:hAnsi="Trebuchet MS"/>
                <w:color w:val="000000"/>
                <w:lang w:val="ro-RO" w:eastAsia="ro-RO"/>
              </w:rPr>
            </w:pPr>
          </w:p>
          <w:p w14:paraId="4EBF40DF" w14:textId="77777777" w:rsidR="00FF520E" w:rsidRPr="0098434E" w:rsidRDefault="00FF520E" w:rsidP="0098434E">
            <w:pPr>
              <w:spacing w:after="0" w:line="276" w:lineRule="auto"/>
              <w:jc w:val="both"/>
              <w:rPr>
                <w:rFonts w:ascii="Trebuchet MS" w:eastAsia="Times New Roman" w:hAnsi="Trebuchet MS"/>
                <w:color w:val="000000"/>
                <w:lang w:val="ro-RO" w:eastAsia="ro-RO"/>
              </w:rPr>
            </w:pPr>
          </w:p>
          <w:p w14:paraId="67839329" w14:textId="7B4CDCCB" w:rsidR="00FF520E" w:rsidRPr="0098434E" w:rsidRDefault="00FF520E" w:rsidP="0098434E">
            <w:pPr>
              <w:spacing w:after="0" w:line="276" w:lineRule="auto"/>
              <w:jc w:val="both"/>
              <w:rPr>
                <w:rFonts w:ascii="Trebuchet MS" w:eastAsia="Times New Roman" w:hAnsi="Trebuchet MS"/>
                <w:color w:val="000000"/>
                <w:lang w:val="ro-RO" w:eastAsia="ro-RO"/>
              </w:rPr>
            </w:pPr>
          </w:p>
        </w:tc>
      </w:tr>
      <w:tr w:rsidR="00C73CDD" w:rsidRPr="0098434E" w14:paraId="2E3E53AE" w14:textId="77777777" w:rsidTr="002F1F21">
        <w:trPr>
          <w:trHeight w:val="90"/>
        </w:trPr>
        <w:tc>
          <w:tcPr>
            <w:tcW w:w="10915" w:type="dxa"/>
            <w:gridSpan w:val="11"/>
            <w:vAlign w:val="center"/>
          </w:tcPr>
          <w:p w14:paraId="2594B143"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Secţiunea a 3-a</w:t>
            </w:r>
          </w:p>
          <w:p w14:paraId="546127BD"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Impactul socioeconomic</w:t>
            </w:r>
          </w:p>
        </w:tc>
      </w:tr>
      <w:tr w:rsidR="00C73CDD" w:rsidRPr="0098434E" w14:paraId="54635674" w14:textId="77777777" w:rsidTr="002F1F21">
        <w:trPr>
          <w:trHeight w:val="55"/>
        </w:trPr>
        <w:tc>
          <w:tcPr>
            <w:tcW w:w="851" w:type="dxa"/>
          </w:tcPr>
          <w:p w14:paraId="281D01C5"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3.1.</w:t>
            </w:r>
          </w:p>
        </w:tc>
        <w:tc>
          <w:tcPr>
            <w:tcW w:w="2693" w:type="dxa"/>
          </w:tcPr>
          <w:p w14:paraId="7BD9A7F2" w14:textId="77777777" w:rsidR="00C73CDD" w:rsidRPr="0098434E" w:rsidRDefault="00C73CDD" w:rsidP="0098434E">
            <w:pPr>
              <w:spacing w:after="0" w:line="276" w:lineRule="auto"/>
              <w:contextualSpacing/>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Descrierea generală a beneficiilor şi costurilor estimate ca urmare a </w:t>
            </w:r>
            <w:r w:rsidRPr="0098434E">
              <w:rPr>
                <w:rFonts w:ascii="Trebuchet MS" w:eastAsia="Times New Roman" w:hAnsi="Trebuchet MS"/>
                <w:noProof/>
                <w:color w:val="000000"/>
                <w:lang w:val="ro-RO"/>
              </w:rPr>
              <w:lastRenderedPageBreak/>
              <w:t>intrării în vigoare a actului normativ</w:t>
            </w:r>
          </w:p>
        </w:tc>
        <w:tc>
          <w:tcPr>
            <w:tcW w:w="7371" w:type="dxa"/>
            <w:gridSpan w:val="9"/>
          </w:tcPr>
          <w:p w14:paraId="680CF6C2" w14:textId="78362ED4" w:rsidR="00C73CDD" w:rsidRPr="0098434E" w:rsidRDefault="00C73CDD"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lastRenderedPageBreak/>
              <w:t>Nu este cazul.</w:t>
            </w:r>
          </w:p>
        </w:tc>
      </w:tr>
      <w:tr w:rsidR="00C73CDD" w:rsidRPr="0098434E" w14:paraId="34B2F29C" w14:textId="77777777" w:rsidTr="002F1F21">
        <w:trPr>
          <w:trHeight w:val="55"/>
        </w:trPr>
        <w:tc>
          <w:tcPr>
            <w:tcW w:w="851" w:type="dxa"/>
          </w:tcPr>
          <w:p w14:paraId="01F88227"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3.2.</w:t>
            </w:r>
          </w:p>
        </w:tc>
        <w:tc>
          <w:tcPr>
            <w:tcW w:w="2693" w:type="dxa"/>
          </w:tcPr>
          <w:p w14:paraId="35A5B5C3" w14:textId="77777777" w:rsidR="00C73CDD" w:rsidRPr="0098434E" w:rsidRDefault="00C73CDD" w:rsidP="0098434E">
            <w:pPr>
              <w:spacing w:after="0" w:line="276" w:lineRule="auto"/>
              <w:contextualSpacing/>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Impactul social</w:t>
            </w:r>
          </w:p>
        </w:tc>
        <w:tc>
          <w:tcPr>
            <w:tcW w:w="7371" w:type="dxa"/>
            <w:gridSpan w:val="9"/>
          </w:tcPr>
          <w:p w14:paraId="313AB809" w14:textId="7FD79892"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4A058AE5" w14:textId="77777777" w:rsidTr="002F1F21">
        <w:trPr>
          <w:trHeight w:val="55"/>
        </w:trPr>
        <w:tc>
          <w:tcPr>
            <w:tcW w:w="851" w:type="dxa"/>
          </w:tcPr>
          <w:p w14:paraId="50120D22"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3.3.</w:t>
            </w:r>
          </w:p>
        </w:tc>
        <w:tc>
          <w:tcPr>
            <w:tcW w:w="2693" w:type="dxa"/>
          </w:tcPr>
          <w:p w14:paraId="5F8EAF9C" w14:textId="77777777" w:rsidR="00C73CDD" w:rsidRPr="0098434E" w:rsidRDefault="00C73CDD" w:rsidP="0098434E">
            <w:pPr>
              <w:spacing w:after="0" w:line="276" w:lineRule="auto"/>
              <w:contextualSpacing/>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Impactul asupra drepturilor şi libertăţilor fundamentale ale omului</w:t>
            </w:r>
          </w:p>
        </w:tc>
        <w:tc>
          <w:tcPr>
            <w:tcW w:w="7371" w:type="dxa"/>
            <w:gridSpan w:val="9"/>
          </w:tcPr>
          <w:p w14:paraId="7FF3E0D7" w14:textId="31D29F4E"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4616D925" w14:textId="77777777" w:rsidTr="002F1F21">
        <w:trPr>
          <w:trHeight w:val="55"/>
        </w:trPr>
        <w:tc>
          <w:tcPr>
            <w:tcW w:w="851" w:type="dxa"/>
          </w:tcPr>
          <w:p w14:paraId="51AE5785"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3.4.</w:t>
            </w:r>
          </w:p>
        </w:tc>
        <w:tc>
          <w:tcPr>
            <w:tcW w:w="2693" w:type="dxa"/>
          </w:tcPr>
          <w:p w14:paraId="28606B79" w14:textId="77777777" w:rsidR="00C73CDD" w:rsidRPr="0098434E" w:rsidRDefault="00C73CDD" w:rsidP="0098434E">
            <w:pPr>
              <w:spacing w:after="0" w:line="276" w:lineRule="auto"/>
              <w:contextualSpacing/>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Impactul macroeconomic</w:t>
            </w:r>
          </w:p>
        </w:tc>
        <w:tc>
          <w:tcPr>
            <w:tcW w:w="7371" w:type="dxa"/>
            <w:gridSpan w:val="9"/>
          </w:tcPr>
          <w:p w14:paraId="1607D8DA" w14:textId="3D792F0D"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2F9A481D" w14:textId="77777777" w:rsidTr="002F1F21">
        <w:trPr>
          <w:trHeight w:val="52"/>
        </w:trPr>
        <w:tc>
          <w:tcPr>
            <w:tcW w:w="851" w:type="dxa"/>
          </w:tcPr>
          <w:p w14:paraId="759531E3"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 3.4.1.</w:t>
            </w:r>
          </w:p>
        </w:tc>
        <w:tc>
          <w:tcPr>
            <w:tcW w:w="2693" w:type="dxa"/>
          </w:tcPr>
          <w:p w14:paraId="77A7BC4F" w14:textId="77777777" w:rsidR="00C73CDD" w:rsidRPr="0098434E" w:rsidRDefault="00C73CDD" w:rsidP="0098434E">
            <w:pPr>
              <w:spacing w:after="0" w:line="276" w:lineRule="auto"/>
              <w:contextualSpacing/>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Impactul asupra economiei şi asupra principalilor indicatori macroeconomici</w:t>
            </w:r>
          </w:p>
        </w:tc>
        <w:tc>
          <w:tcPr>
            <w:tcW w:w="7371" w:type="dxa"/>
            <w:gridSpan w:val="9"/>
          </w:tcPr>
          <w:p w14:paraId="78F023CC" w14:textId="6499A8E0"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7C083361" w14:textId="77777777" w:rsidTr="002F1F21">
        <w:trPr>
          <w:trHeight w:val="52"/>
        </w:trPr>
        <w:tc>
          <w:tcPr>
            <w:tcW w:w="851" w:type="dxa"/>
          </w:tcPr>
          <w:p w14:paraId="4CCD55E1"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3.4.2.</w:t>
            </w:r>
          </w:p>
        </w:tc>
        <w:tc>
          <w:tcPr>
            <w:tcW w:w="2693" w:type="dxa"/>
          </w:tcPr>
          <w:p w14:paraId="7C646E4E" w14:textId="77777777" w:rsidR="00C73CDD" w:rsidRPr="0098434E" w:rsidRDefault="00C73CDD"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Impactul asupra mediului concurenţial şi domeniul ajutoarelor de stat</w:t>
            </w:r>
          </w:p>
        </w:tc>
        <w:tc>
          <w:tcPr>
            <w:tcW w:w="7371" w:type="dxa"/>
            <w:gridSpan w:val="9"/>
          </w:tcPr>
          <w:p w14:paraId="33E890CF" w14:textId="7D1ED1FB"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04A08744" w14:textId="77777777" w:rsidTr="002F1F21">
        <w:trPr>
          <w:trHeight w:val="52"/>
        </w:trPr>
        <w:tc>
          <w:tcPr>
            <w:tcW w:w="851" w:type="dxa"/>
          </w:tcPr>
          <w:p w14:paraId="61A81CCD"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3.5.</w:t>
            </w:r>
          </w:p>
        </w:tc>
        <w:tc>
          <w:tcPr>
            <w:tcW w:w="2693" w:type="dxa"/>
          </w:tcPr>
          <w:p w14:paraId="0965DB63" w14:textId="77777777" w:rsidR="00C73CDD" w:rsidRPr="0098434E" w:rsidRDefault="00C73CDD"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Impactul asupra mediului de afaceri</w:t>
            </w:r>
          </w:p>
        </w:tc>
        <w:tc>
          <w:tcPr>
            <w:tcW w:w="7371" w:type="dxa"/>
            <w:gridSpan w:val="9"/>
          </w:tcPr>
          <w:p w14:paraId="239E228F" w14:textId="1DA2E7E1"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6C66D9FC" w14:textId="77777777" w:rsidTr="002F1F21">
        <w:trPr>
          <w:trHeight w:val="52"/>
        </w:trPr>
        <w:tc>
          <w:tcPr>
            <w:tcW w:w="851" w:type="dxa"/>
          </w:tcPr>
          <w:p w14:paraId="1D7201D7"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hAnsi="Trebuchet MS"/>
                <w:noProof/>
                <w:lang w:val="ro-RO"/>
              </w:rPr>
              <w:t>3.6.</w:t>
            </w:r>
          </w:p>
        </w:tc>
        <w:tc>
          <w:tcPr>
            <w:tcW w:w="2693" w:type="dxa"/>
          </w:tcPr>
          <w:p w14:paraId="39BD492E" w14:textId="77777777" w:rsidR="00C73CDD" w:rsidRPr="0098434E" w:rsidRDefault="00C73CDD"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Impactul asupra mediului înconjurător</w:t>
            </w:r>
          </w:p>
        </w:tc>
        <w:tc>
          <w:tcPr>
            <w:tcW w:w="7371" w:type="dxa"/>
            <w:gridSpan w:val="9"/>
          </w:tcPr>
          <w:p w14:paraId="2DAD4CC5" w14:textId="0AAA2579"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6457302E" w14:textId="77777777" w:rsidTr="002F1F21">
        <w:trPr>
          <w:trHeight w:val="52"/>
        </w:trPr>
        <w:tc>
          <w:tcPr>
            <w:tcW w:w="851" w:type="dxa"/>
          </w:tcPr>
          <w:p w14:paraId="40C59022"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3.7.</w:t>
            </w:r>
          </w:p>
        </w:tc>
        <w:tc>
          <w:tcPr>
            <w:tcW w:w="2693" w:type="dxa"/>
          </w:tcPr>
          <w:p w14:paraId="76373E4B" w14:textId="77777777" w:rsidR="00C73CDD" w:rsidRPr="0098434E" w:rsidRDefault="00C73CDD"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Evaluarea costurilor şi beneficiilor din perspectiva inovării şi digitalizării</w:t>
            </w:r>
          </w:p>
        </w:tc>
        <w:tc>
          <w:tcPr>
            <w:tcW w:w="7371" w:type="dxa"/>
            <w:gridSpan w:val="9"/>
          </w:tcPr>
          <w:p w14:paraId="405DAA33" w14:textId="1CF6F50B"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1982D59C" w14:textId="77777777" w:rsidTr="002F1F21">
        <w:trPr>
          <w:trHeight w:val="52"/>
        </w:trPr>
        <w:tc>
          <w:tcPr>
            <w:tcW w:w="851" w:type="dxa"/>
          </w:tcPr>
          <w:p w14:paraId="7FE043C0"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3.8.</w:t>
            </w:r>
          </w:p>
        </w:tc>
        <w:tc>
          <w:tcPr>
            <w:tcW w:w="2693" w:type="dxa"/>
          </w:tcPr>
          <w:p w14:paraId="5994244B" w14:textId="77777777" w:rsidR="00C73CDD" w:rsidRPr="0098434E" w:rsidRDefault="00C73CDD"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Evaluarea costurilor şi beneficiilor din perspectiva dezvoltării durabile</w:t>
            </w:r>
          </w:p>
        </w:tc>
        <w:tc>
          <w:tcPr>
            <w:tcW w:w="7371" w:type="dxa"/>
            <w:gridSpan w:val="9"/>
          </w:tcPr>
          <w:p w14:paraId="234141B7" w14:textId="40883C5B"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23EBEE1E" w14:textId="77777777" w:rsidTr="002F1F21">
        <w:trPr>
          <w:trHeight w:val="52"/>
        </w:trPr>
        <w:tc>
          <w:tcPr>
            <w:tcW w:w="851" w:type="dxa"/>
          </w:tcPr>
          <w:p w14:paraId="4B498A21"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3.9.</w:t>
            </w:r>
          </w:p>
        </w:tc>
        <w:tc>
          <w:tcPr>
            <w:tcW w:w="2693" w:type="dxa"/>
          </w:tcPr>
          <w:p w14:paraId="5F44E044" w14:textId="77777777" w:rsidR="00C73CDD" w:rsidRPr="0098434E" w:rsidRDefault="00C73CDD" w:rsidP="0098434E">
            <w:pPr>
              <w:spacing w:after="0" w:line="276" w:lineRule="auto"/>
              <w:contextualSpacing/>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Alte informaţii</w:t>
            </w:r>
          </w:p>
        </w:tc>
        <w:tc>
          <w:tcPr>
            <w:tcW w:w="7371" w:type="dxa"/>
            <w:gridSpan w:val="9"/>
          </w:tcPr>
          <w:p w14:paraId="705C6718" w14:textId="4EC8FAF7"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789E8434" w14:textId="77777777" w:rsidTr="002F1F21">
        <w:trPr>
          <w:trHeight w:val="52"/>
        </w:trPr>
        <w:tc>
          <w:tcPr>
            <w:tcW w:w="10915" w:type="dxa"/>
            <w:gridSpan w:val="11"/>
          </w:tcPr>
          <w:p w14:paraId="2D1ACC0B"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Secţiunea a 4-a</w:t>
            </w:r>
          </w:p>
          <w:p w14:paraId="78127EFC"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Impactul financiar asupra bugetului general consolidat atât pe termen scurt, pentru anul curent, cât şi pe termen lung (pe 5 ani), inclusiv informaţii cu privire la cheltuieli şi venituri</w:t>
            </w:r>
          </w:p>
        </w:tc>
      </w:tr>
      <w:tr w:rsidR="00C73CDD" w:rsidRPr="0098434E" w14:paraId="3BE9B8A9" w14:textId="77777777" w:rsidTr="002F1F21">
        <w:trPr>
          <w:trHeight w:val="52"/>
        </w:trPr>
        <w:tc>
          <w:tcPr>
            <w:tcW w:w="10915" w:type="dxa"/>
            <w:gridSpan w:val="11"/>
          </w:tcPr>
          <w:p w14:paraId="7442A610"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 în mii lei (RON) – </w:t>
            </w:r>
          </w:p>
        </w:tc>
      </w:tr>
      <w:tr w:rsidR="00C73CDD" w:rsidRPr="0098434E" w14:paraId="38DC216B" w14:textId="77777777" w:rsidTr="002F1F21">
        <w:trPr>
          <w:trHeight w:val="45"/>
        </w:trPr>
        <w:tc>
          <w:tcPr>
            <w:tcW w:w="4561" w:type="dxa"/>
            <w:gridSpan w:val="4"/>
            <w:vAlign w:val="center"/>
          </w:tcPr>
          <w:p w14:paraId="105E072F" w14:textId="77777777" w:rsidR="00C73CDD" w:rsidRPr="0098434E" w:rsidRDefault="00C73CDD" w:rsidP="0098434E">
            <w:pPr>
              <w:spacing w:after="0" w:line="276" w:lineRule="auto"/>
              <w:contextualSpacing/>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Indicatori</w:t>
            </w:r>
          </w:p>
        </w:tc>
        <w:tc>
          <w:tcPr>
            <w:tcW w:w="1898" w:type="dxa"/>
            <w:vAlign w:val="center"/>
          </w:tcPr>
          <w:p w14:paraId="02465D1C"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Anul</w:t>
            </w:r>
          </w:p>
          <w:p w14:paraId="606EB624"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curent</w:t>
            </w:r>
          </w:p>
        </w:tc>
        <w:tc>
          <w:tcPr>
            <w:tcW w:w="1915" w:type="dxa"/>
            <w:gridSpan w:val="5"/>
            <w:vAlign w:val="center"/>
          </w:tcPr>
          <w:p w14:paraId="124E5B0D"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Urmatorii patru ani</w:t>
            </w:r>
          </w:p>
        </w:tc>
        <w:tc>
          <w:tcPr>
            <w:tcW w:w="2541" w:type="dxa"/>
            <w:vAlign w:val="center"/>
          </w:tcPr>
          <w:p w14:paraId="6307AF47"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Media pe cinci ani</w:t>
            </w:r>
          </w:p>
        </w:tc>
      </w:tr>
      <w:tr w:rsidR="00C73CDD" w:rsidRPr="0098434E" w14:paraId="4CC1A9F8" w14:textId="77777777" w:rsidTr="002F1F21">
        <w:trPr>
          <w:trHeight w:val="45"/>
        </w:trPr>
        <w:tc>
          <w:tcPr>
            <w:tcW w:w="4561" w:type="dxa"/>
            <w:gridSpan w:val="4"/>
            <w:vAlign w:val="center"/>
          </w:tcPr>
          <w:p w14:paraId="6FFACB8D" w14:textId="77777777" w:rsidR="00C73CDD" w:rsidRPr="0098434E" w:rsidRDefault="00C73CDD" w:rsidP="0098434E">
            <w:pPr>
              <w:spacing w:after="0" w:line="276" w:lineRule="auto"/>
              <w:contextualSpacing/>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1</w:t>
            </w:r>
          </w:p>
        </w:tc>
        <w:tc>
          <w:tcPr>
            <w:tcW w:w="1898" w:type="dxa"/>
            <w:vAlign w:val="center"/>
          </w:tcPr>
          <w:p w14:paraId="035FDD95"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2</w:t>
            </w:r>
          </w:p>
        </w:tc>
        <w:tc>
          <w:tcPr>
            <w:tcW w:w="478" w:type="dxa"/>
            <w:gridSpan w:val="2"/>
            <w:vAlign w:val="center"/>
          </w:tcPr>
          <w:p w14:paraId="0FC44C43"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3</w:t>
            </w:r>
          </w:p>
        </w:tc>
        <w:tc>
          <w:tcPr>
            <w:tcW w:w="479" w:type="dxa"/>
            <w:vAlign w:val="center"/>
          </w:tcPr>
          <w:p w14:paraId="78AE637A"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4</w:t>
            </w:r>
          </w:p>
        </w:tc>
        <w:tc>
          <w:tcPr>
            <w:tcW w:w="479" w:type="dxa"/>
            <w:vAlign w:val="center"/>
          </w:tcPr>
          <w:p w14:paraId="552B47EA"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5</w:t>
            </w:r>
          </w:p>
        </w:tc>
        <w:tc>
          <w:tcPr>
            <w:tcW w:w="479" w:type="dxa"/>
            <w:vAlign w:val="center"/>
          </w:tcPr>
          <w:p w14:paraId="7872BAF0"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6</w:t>
            </w:r>
          </w:p>
        </w:tc>
        <w:tc>
          <w:tcPr>
            <w:tcW w:w="2541" w:type="dxa"/>
            <w:vAlign w:val="center"/>
          </w:tcPr>
          <w:p w14:paraId="647A8EB5"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r w:rsidRPr="0098434E">
              <w:rPr>
                <w:rFonts w:ascii="Trebuchet MS" w:eastAsia="Times New Roman" w:hAnsi="Trebuchet MS"/>
                <w:noProof/>
                <w:color w:val="000000"/>
                <w:lang w:val="ro-RO"/>
              </w:rPr>
              <w:t>7</w:t>
            </w:r>
          </w:p>
        </w:tc>
      </w:tr>
      <w:tr w:rsidR="00C73CDD" w:rsidRPr="0098434E" w14:paraId="58824BDA" w14:textId="77777777" w:rsidTr="002F1F21">
        <w:trPr>
          <w:trHeight w:val="45"/>
        </w:trPr>
        <w:tc>
          <w:tcPr>
            <w:tcW w:w="4561" w:type="dxa"/>
            <w:gridSpan w:val="4"/>
            <w:vAlign w:val="center"/>
          </w:tcPr>
          <w:p w14:paraId="3CA25E5E"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4.1. Modificări ale veniturilor bugetare, plus/minus, din care:</w:t>
            </w:r>
          </w:p>
        </w:tc>
        <w:tc>
          <w:tcPr>
            <w:tcW w:w="1898" w:type="dxa"/>
            <w:vAlign w:val="center"/>
          </w:tcPr>
          <w:p w14:paraId="3C0B1CBB" w14:textId="0F50B60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115A10F2" w14:textId="26637A9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748D3AE" w14:textId="5162C31A"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FED83CA" w14:textId="54E3AAE3"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65E5C475" w14:textId="3D1FBCA1"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3AAEA1CF" w14:textId="05943120"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687BB284" w14:textId="77777777" w:rsidTr="002F1F21">
        <w:trPr>
          <w:trHeight w:val="45"/>
        </w:trPr>
        <w:tc>
          <w:tcPr>
            <w:tcW w:w="4561" w:type="dxa"/>
            <w:gridSpan w:val="4"/>
            <w:vAlign w:val="center"/>
          </w:tcPr>
          <w:p w14:paraId="19A4D93E"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a) buget de stat, din acesta:</w:t>
            </w:r>
          </w:p>
          <w:p w14:paraId="642EDA57"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 impozit pe profit</w:t>
            </w:r>
          </w:p>
          <w:p w14:paraId="747B2BFF"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(ii) impozit pe venit</w:t>
            </w:r>
          </w:p>
        </w:tc>
        <w:tc>
          <w:tcPr>
            <w:tcW w:w="1898" w:type="dxa"/>
            <w:vAlign w:val="center"/>
          </w:tcPr>
          <w:p w14:paraId="3453C129"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0C260E8D"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B08E3BB"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0F1552BB"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0138296"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4785863D"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719BFB1B" w14:textId="77777777" w:rsidTr="002F1F21">
        <w:trPr>
          <w:trHeight w:val="45"/>
        </w:trPr>
        <w:tc>
          <w:tcPr>
            <w:tcW w:w="4561" w:type="dxa"/>
            <w:gridSpan w:val="4"/>
            <w:vAlign w:val="center"/>
          </w:tcPr>
          <w:p w14:paraId="6C7C626B"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b) bugete locale</w:t>
            </w:r>
          </w:p>
          <w:p w14:paraId="7AD8955C"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 impozit pe profit</w:t>
            </w:r>
          </w:p>
        </w:tc>
        <w:tc>
          <w:tcPr>
            <w:tcW w:w="1898" w:type="dxa"/>
            <w:vAlign w:val="center"/>
          </w:tcPr>
          <w:p w14:paraId="61E6D93D"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7028EBDF"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6CEDCDBC"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79FA8BB8"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1BCF1DBD"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73B493EE"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0698C97A" w14:textId="77777777" w:rsidTr="002F1F21">
        <w:trPr>
          <w:trHeight w:val="45"/>
        </w:trPr>
        <w:tc>
          <w:tcPr>
            <w:tcW w:w="4561" w:type="dxa"/>
            <w:gridSpan w:val="4"/>
            <w:vAlign w:val="center"/>
          </w:tcPr>
          <w:p w14:paraId="07FD3F83"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c) bugetul asigurărilor sociale de stat:</w:t>
            </w:r>
          </w:p>
          <w:p w14:paraId="197A2C14"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 contribuţii de asigurări</w:t>
            </w:r>
          </w:p>
        </w:tc>
        <w:tc>
          <w:tcPr>
            <w:tcW w:w="1898" w:type="dxa"/>
            <w:vAlign w:val="center"/>
          </w:tcPr>
          <w:p w14:paraId="7EF9CA89"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4FDBF0B7"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3AE7B91"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17C73069"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F98F19A"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39798965"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0C90F3BD" w14:textId="77777777" w:rsidTr="002F1F21">
        <w:trPr>
          <w:trHeight w:val="45"/>
        </w:trPr>
        <w:tc>
          <w:tcPr>
            <w:tcW w:w="4561" w:type="dxa"/>
            <w:gridSpan w:val="4"/>
            <w:vAlign w:val="center"/>
          </w:tcPr>
          <w:p w14:paraId="2E76025F"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d) alte tipuri de venituri</w:t>
            </w:r>
          </w:p>
          <w:p w14:paraId="0045C112"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(se va menționa natura acestora)</w:t>
            </w:r>
          </w:p>
        </w:tc>
        <w:tc>
          <w:tcPr>
            <w:tcW w:w="1898" w:type="dxa"/>
            <w:vAlign w:val="center"/>
          </w:tcPr>
          <w:p w14:paraId="0F0C78C1"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6C8133D7"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33AEC25D"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52632E32"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1F007C9"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306778C5"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1DEEC125" w14:textId="77777777" w:rsidTr="002F1F21">
        <w:trPr>
          <w:trHeight w:val="45"/>
        </w:trPr>
        <w:tc>
          <w:tcPr>
            <w:tcW w:w="4561" w:type="dxa"/>
            <w:gridSpan w:val="4"/>
            <w:vAlign w:val="center"/>
          </w:tcPr>
          <w:p w14:paraId="2FE348CB"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4.2. Modificări ale cheltuielilor bugetare, plus/minus, din care:</w:t>
            </w:r>
          </w:p>
        </w:tc>
        <w:tc>
          <w:tcPr>
            <w:tcW w:w="1898" w:type="dxa"/>
            <w:vAlign w:val="center"/>
          </w:tcPr>
          <w:p w14:paraId="3D6C50E3" w14:textId="212D5ACA"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7F67F6B1" w14:textId="6400B9C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526FE986" w14:textId="0AE391DD"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A5E9206" w14:textId="575F6FD9"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0914A994" w14:textId="0352CA40"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78BA4B7C" w14:textId="1A25BABD"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221F8A86" w14:textId="77777777" w:rsidTr="002F1F21">
        <w:trPr>
          <w:trHeight w:val="45"/>
        </w:trPr>
        <w:tc>
          <w:tcPr>
            <w:tcW w:w="4561" w:type="dxa"/>
            <w:gridSpan w:val="4"/>
            <w:vAlign w:val="center"/>
          </w:tcPr>
          <w:p w14:paraId="6B746DE6"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lastRenderedPageBreak/>
              <w:t>a) buget de stat, din acesta:</w:t>
            </w:r>
          </w:p>
          <w:p w14:paraId="6CA8F901"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 cheltuieli de personal</w:t>
            </w:r>
          </w:p>
          <w:p w14:paraId="29657D4C"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(ii) bunuri şi servicii</w:t>
            </w:r>
          </w:p>
        </w:tc>
        <w:tc>
          <w:tcPr>
            <w:tcW w:w="1898" w:type="dxa"/>
            <w:vAlign w:val="center"/>
          </w:tcPr>
          <w:p w14:paraId="35848FAC"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398882C4"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50D6568"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DF81635"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178B769"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2F210DEA"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0A33D5A4" w14:textId="77777777" w:rsidTr="002F1F21">
        <w:trPr>
          <w:trHeight w:val="45"/>
        </w:trPr>
        <w:tc>
          <w:tcPr>
            <w:tcW w:w="4561" w:type="dxa"/>
            <w:gridSpan w:val="4"/>
            <w:vAlign w:val="center"/>
          </w:tcPr>
          <w:p w14:paraId="2F11F938"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b) bugete locale:</w:t>
            </w:r>
          </w:p>
          <w:p w14:paraId="5F929835"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 cheltuieli de personal</w:t>
            </w:r>
          </w:p>
          <w:p w14:paraId="15E6124E"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(ii) bunuri şi servicii</w:t>
            </w:r>
          </w:p>
        </w:tc>
        <w:tc>
          <w:tcPr>
            <w:tcW w:w="1898" w:type="dxa"/>
            <w:vAlign w:val="center"/>
          </w:tcPr>
          <w:p w14:paraId="36590723"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1073AA87"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061A43B"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7CE64532"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8F9803C"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06B93506"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23C4EB54" w14:textId="77777777" w:rsidTr="002F1F21">
        <w:trPr>
          <w:trHeight w:val="45"/>
        </w:trPr>
        <w:tc>
          <w:tcPr>
            <w:tcW w:w="4561" w:type="dxa"/>
            <w:gridSpan w:val="4"/>
            <w:vAlign w:val="center"/>
          </w:tcPr>
          <w:p w14:paraId="0197995F"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c) bugetul asigurărilor sociale de stat:</w:t>
            </w:r>
          </w:p>
          <w:p w14:paraId="2FE38C1B"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 cheltuieli de personal</w:t>
            </w:r>
          </w:p>
          <w:p w14:paraId="4782C34C"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(ii) bunuri şi servicii</w:t>
            </w:r>
          </w:p>
        </w:tc>
        <w:tc>
          <w:tcPr>
            <w:tcW w:w="1898" w:type="dxa"/>
            <w:vAlign w:val="center"/>
          </w:tcPr>
          <w:p w14:paraId="7E8B17A1"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39167BEB"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E9CA6BC"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AB55542"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994B273"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488EA7B7"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2F3FF624" w14:textId="77777777" w:rsidTr="002F1F21">
        <w:trPr>
          <w:trHeight w:val="45"/>
        </w:trPr>
        <w:tc>
          <w:tcPr>
            <w:tcW w:w="4561" w:type="dxa"/>
            <w:gridSpan w:val="4"/>
            <w:vAlign w:val="center"/>
          </w:tcPr>
          <w:p w14:paraId="5484B2CE"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d) alte tipuri de cheltuieli</w:t>
            </w:r>
          </w:p>
          <w:p w14:paraId="01CC7902"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(se va menționa natura acestora)</w:t>
            </w:r>
          </w:p>
        </w:tc>
        <w:tc>
          <w:tcPr>
            <w:tcW w:w="1898" w:type="dxa"/>
            <w:vAlign w:val="center"/>
          </w:tcPr>
          <w:p w14:paraId="1C4AF1FC"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02320321"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53AEC468"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72B1A531"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41B50B9"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46F48FDD" w14:textId="777777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35B96F33" w14:textId="77777777" w:rsidTr="002F1F21">
        <w:trPr>
          <w:trHeight w:val="45"/>
        </w:trPr>
        <w:tc>
          <w:tcPr>
            <w:tcW w:w="4561" w:type="dxa"/>
            <w:gridSpan w:val="4"/>
            <w:vAlign w:val="center"/>
          </w:tcPr>
          <w:p w14:paraId="43D28949"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4.3. Impact financiar, plus/minus, din care:</w:t>
            </w:r>
          </w:p>
        </w:tc>
        <w:tc>
          <w:tcPr>
            <w:tcW w:w="1898" w:type="dxa"/>
            <w:vAlign w:val="center"/>
          </w:tcPr>
          <w:p w14:paraId="7EE996EC" w14:textId="3479B510"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624FE108" w14:textId="34B882F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D78CF24" w14:textId="67EAD7DD"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0EAF6CC0" w14:textId="43DE66A3"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7AEBBEF7" w14:textId="1C518981" w:rsidR="00C73CDD" w:rsidRPr="0098434E" w:rsidRDefault="00C73CDD" w:rsidP="0098434E">
            <w:pPr>
              <w:tabs>
                <w:tab w:val="left" w:pos="720"/>
              </w:tabs>
              <w:spacing w:after="0" w:line="276" w:lineRule="auto"/>
              <w:rPr>
                <w:rFonts w:ascii="Trebuchet MS" w:eastAsia="Times New Roman" w:hAnsi="Trebuchet MS"/>
                <w:noProof/>
                <w:color w:val="000000"/>
                <w:lang w:val="ro-RO"/>
              </w:rPr>
            </w:pPr>
          </w:p>
        </w:tc>
        <w:tc>
          <w:tcPr>
            <w:tcW w:w="2541" w:type="dxa"/>
            <w:vAlign w:val="center"/>
          </w:tcPr>
          <w:p w14:paraId="4109F2EE" w14:textId="12E2992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002630A2" w14:textId="77777777" w:rsidTr="002F1F21">
        <w:trPr>
          <w:trHeight w:val="45"/>
        </w:trPr>
        <w:tc>
          <w:tcPr>
            <w:tcW w:w="4561" w:type="dxa"/>
            <w:gridSpan w:val="4"/>
            <w:vAlign w:val="center"/>
          </w:tcPr>
          <w:p w14:paraId="25EBD018"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a) buget de stat</w:t>
            </w:r>
          </w:p>
        </w:tc>
        <w:tc>
          <w:tcPr>
            <w:tcW w:w="1898" w:type="dxa"/>
            <w:vAlign w:val="center"/>
          </w:tcPr>
          <w:p w14:paraId="629AF704" w14:textId="3C23ED78"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6E034D89" w14:textId="2584A99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0FC26EFE" w14:textId="3768291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3128C13E" w14:textId="46144AF0"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038A3F7E" w14:textId="7F14CE62"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69B281B0" w14:textId="1A19BAE5"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4F49DDDD" w14:textId="77777777" w:rsidTr="002F1F21">
        <w:trPr>
          <w:trHeight w:val="45"/>
        </w:trPr>
        <w:tc>
          <w:tcPr>
            <w:tcW w:w="4561" w:type="dxa"/>
            <w:gridSpan w:val="4"/>
            <w:vAlign w:val="center"/>
          </w:tcPr>
          <w:p w14:paraId="54245559"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b) bugete locale</w:t>
            </w:r>
          </w:p>
        </w:tc>
        <w:tc>
          <w:tcPr>
            <w:tcW w:w="1898" w:type="dxa"/>
            <w:vAlign w:val="center"/>
          </w:tcPr>
          <w:p w14:paraId="10EB0E67" w14:textId="4959F972"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249449D4" w14:textId="6D6A4B8F"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67E11DA2" w14:textId="31FCBE68"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23AC4F7" w14:textId="138BBD38"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63A30DE5" w14:textId="5C3E92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0159060D" w14:textId="68239B3C"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6CB792C9" w14:textId="77777777" w:rsidTr="002F1F21">
        <w:trPr>
          <w:trHeight w:val="45"/>
        </w:trPr>
        <w:tc>
          <w:tcPr>
            <w:tcW w:w="4561" w:type="dxa"/>
            <w:gridSpan w:val="4"/>
            <w:vAlign w:val="center"/>
          </w:tcPr>
          <w:p w14:paraId="5FD14984"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4.4. Propuneri pentru acoperirea creşterii cheltuielilor bugetare</w:t>
            </w:r>
          </w:p>
        </w:tc>
        <w:tc>
          <w:tcPr>
            <w:tcW w:w="1898" w:type="dxa"/>
            <w:vAlign w:val="center"/>
          </w:tcPr>
          <w:p w14:paraId="7AFE3746" w14:textId="1BC376FD"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059B6EF8" w14:textId="21E1A10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36FCE15B" w14:textId="482162F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1E5E41EB" w14:textId="72E6D3A0" w:rsidR="00C73CDD" w:rsidRPr="0098434E" w:rsidRDefault="00C73CDD" w:rsidP="0098434E">
            <w:pPr>
              <w:tabs>
                <w:tab w:val="left" w:pos="720"/>
              </w:tabs>
              <w:spacing w:after="0" w:line="276" w:lineRule="auto"/>
              <w:rPr>
                <w:rFonts w:ascii="Trebuchet MS" w:eastAsia="Times New Roman" w:hAnsi="Trebuchet MS"/>
                <w:noProof/>
                <w:color w:val="000000"/>
                <w:lang w:val="ro-RO"/>
              </w:rPr>
            </w:pPr>
          </w:p>
        </w:tc>
        <w:tc>
          <w:tcPr>
            <w:tcW w:w="479" w:type="dxa"/>
            <w:vAlign w:val="center"/>
          </w:tcPr>
          <w:p w14:paraId="21139064" w14:textId="6785CBA6" w:rsidR="00C73CDD" w:rsidRPr="0098434E" w:rsidRDefault="00C73CDD" w:rsidP="0098434E">
            <w:pPr>
              <w:tabs>
                <w:tab w:val="left" w:pos="720"/>
              </w:tabs>
              <w:spacing w:after="0" w:line="276" w:lineRule="auto"/>
              <w:rPr>
                <w:rFonts w:ascii="Trebuchet MS" w:eastAsia="Times New Roman" w:hAnsi="Trebuchet MS"/>
                <w:noProof/>
                <w:color w:val="000000"/>
                <w:lang w:val="ro-RO"/>
              </w:rPr>
            </w:pPr>
          </w:p>
        </w:tc>
        <w:tc>
          <w:tcPr>
            <w:tcW w:w="2541" w:type="dxa"/>
            <w:vAlign w:val="center"/>
          </w:tcPr>
          <w:p w14:paraId="069712C4" w14:textId="390747E8"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5F478BDB" w14:textId="77777777" w:rsidTr="002F1F21">
        <w:trPr>
          <w:trHeight w:val="45"/>
        </w:trPr>
        <w:tc>
          <w:tcPr>
            <w:tcW w:w="4561" w:type="dxa"/>
            <w:gridSpan w:val="4"/>
            <w:vAlign w:val="center"/>
          </w:tcPr>
          <w:p w14:paraId="598721F4"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4.5. Propuneri pentru a compensa reducerea veniturilor bugetare</w:t>
            </w:r>
          </w:p>
        </w:tc>
        <w:tc>
          <w:tcPr>
            <w:tcW w:w="1898" w:type="dxa"/>
            <w:vAlign w:val="center"/>
          </w:tcPr>
          <w:p w14:paraId="302E6E13" w14:textId="675E5377"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00419FFB" w14:textId="7C8BF69A"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70A301D3" w14:textId="58284F60"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3889EAD9" w14:textId="66E3BDF0"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1E035DFA" w14:textId="03A96919"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0238FCD1" w14:textId="192AA2B1"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51932094" w14:textId="77777777" w:rsidTr="002F1F21">
        <w:trPr>
          <w:trHeight w:val="45"/>
        </w:trPr>
        <w:tc>
          <w:tcPr>
            <w:tcW w:w="4561" w:type="dxa"/>
            <w:gridSpan w:val="4"/>
            <w:vAlign w:val="center"/>
          </w:tcPr>
          <w:p w14:paraId="56CD37A9"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4.6. Calcule detaliate privind fundamentarea modificărilor veniturilor şi/sau cheltuielilor bugetare</w:t>
            </w:r>
          </w:p>
        </w:tc>
        <w:tc>
          <w:tcPr>
            <w:tcW w:w="1898" w:type="dxa"/>
            <w:vAlign w:val="center"/>
          </w:tcPr>
          <w:p w14:paraId="19DD3CD7" w14:textId="28B4E14F"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5773D3E7" w14:textId="2080785E"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11952FEB" w14:textId="1D79FB1B"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35C0C89" w14:textId="49FA8112"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1D59A629" w14:textId="153188CD"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134823D3" w14:textId="13B03173"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404B10A4" w14:textId="77777777" w:rsidTr="002F1F21">
        <w:trPr>
          <w:trHeight w:val="45"/>
        </w:trPr>
        <w:tc>
          <w:tcPr>
            <w:tcW w:w="4561" w:type="dxa"/>
            <w:gridSpan w:val="4"/>
            <w:vAlign w:val="center"/>
          </w:tcPr>
          <w:p w14:paraId="67E373CA"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4.7. Prezentarea, în cazul proiectelor de acte normative a căror adoptare atrage majorarea cheltuielilor bugetare, a următoarelor documente:</w:t>
            </w:r>
          </w:p>
          <w:p w14:paraId="010FE51C" w14:textId="77777777" w:rsidR="005876FF" w:rsidRPr="0098434E" w:rsidRDefault="005876FF" w:rsidP="0098434E">
            <w:pPr>
              <w:spacing w:after="0" w:line="276" w:lineRule="auto"/>
              <w:contextualSpacing/>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a) fişa financiară prevăzută la art. 15 din Legea nr. 500/2002 privind finanţele publice, cu modificările şi completările ulterioare, însoţită de ipotezele şi metodologia de calcul utilizate;</w:t>
            </w:r>
          </w:p>
          <w:p w14:paraId="1455C02F" w14:textId="59D505CA" w:rsidR="005876FF" w:rsidRPr="0098434E" w:rsidRDefault="005876FF"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b) declaraţie conform căreia majorarea de cheltuială respectivă este compatibilă cu obiectivele şi priorităţile strategice specificate în strategia fiscal-bugetară, cu legea bugetară anuală şi cu plafoanele de</w:t>
            </w:r>
          </w:p>
        </w:tc>
        <w:tc>
          <w:tcPr>
            <w:tcW w:w="1898" w:type="dxa"/>
            <w:vAlign w:val="center"/>
          </w:tcPr>
          <w:p w14:paraId="38BA8C90" w14:textId="3E346ED0"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67AF40B5" w14:textId="7B9682E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49525C22" w14:textId="6BA2FD7E"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77A57245" w14:textId="2A36640F"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211DACD1" w14:textId="2859D41A"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0A7B8933" w14:textId="6965D7C0"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C73CDD" w:rsidRPr="0098434E" w14:paraId="48244BB9" w14:textId="77777777" w:rsidTr="002F1F21">
        <w:trPr>
          <w:trHeight w:val="45"/>
        </w:trPr>
        <w:tc>
          <w:tcPr>
            <w:tcW w:w="4561" w:type="dxa"/>
            <w:gridSpan w:val="4"/>
            <w:vAlign w:val="center"/>
          </w:tcPr>
          <w:p w14:paraId="5A94CFB3" w14:textId="1E57A534" w:rsidR="00C73CDD" w:rsidRPr="0098434E" w:rsidRDefault="00C73CDD" w:rsidP="0098434E">
            <w:pPr>
              <w:spacing w:after="0" w:line="276" w:lineRule="auto"/>
              <w:contextualSpacing/>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cheltuieli prezentate în strategia fiscal-bugetară.</w:t>
            </w:r>
          </w:p>
        </w:tc>
        <w:tc>
          <w:tcPr>
            <w:tcW w:w="1898" w:type="dxa"/>
            <w:vAlign w:val="center"/>
          </w:tcPr>
          <w:p w14:paraId="19F0E32A" w14:textId="0312CBD4"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8" w:type="dxa"/>
            <w:gridSpan w:val="2"/>
            <w:vAlign w:val="center"/>
          </w:tcPr>
          <w:p w14:paraId="494793A1" w14:textId="032226C9"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59F76B5E" w14:textId="5036AB49"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03DED3DD" w14:textId="5C55FE2F"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479" w:type="dxa"/>
            <w:vAlign w:val="center"/>
          </w:tcPr>
          <w:p w14:paraId="1672692E" w14:textId="6A052E22"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c>
          <w:tcPr>
            <w:tcW w:w="2541" w:type="dxa"/>
            <w:vAlign w:val="center"/>
          </w:tcPr>
          <w:p w14:paraId="3E39BD69" w14:textId="63C7BF1E" w:rsidR="00C73CDD" w:rsidRPr="0098434E" w:rsidRDefault="00C73CDD" w:rsidP="0098434E">
            <w:pPr>
              <w:tabs>
                <w:tab w:val="left" w:pos="720"/>
              </w:tabs>
              <w:spacing w:after="0" w:line="276" w:lineRule="auto"/>
              <w:jc w:val="center"/>
              <w:rPr>
                <w:rFonts w:ascii="Trebuchet MS" w:eastAsia="Times New Roman" w:hAnsi="Trebuchet MS"/>
                <w:noProof/>
                <w:color w:val="000000"/>
                <w:lang w:val="ro-RO"/>
              </w:rPr>
            </w:pPr>
          </w:p>
        </w:tc>
      </w:tr>
      <w:tr w:rsidR="00855E40" w:rsidRPr="0098434E" w14:paraId="6ADA54A1" w14:textId="77777777" w:rsidTr="002E7E35">
        <w:trPr>
          <w:trHeight w:val="45"/>
        </w:trPr>
        <w:tc>
          <w:tcPr>
            <w:tcW w:w="4561" w:type="dxa"/>
            <w:gridSpan w:val="4"/>
            <w:vAlign w:val="center"/>
          </w:tcPr>
          <w:p w14:paraId="3379C53C" w14:textId="77777777" w:rsidR="00855E40" w:rsidRPr="0098434E" w:rsidRDefault="00855E40"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4.8. Alte informații</w:t>
            </w:r>
          </w:p>
        </w:tc>
        <w:tc>
          <w:tcPr>
            <w:tcW w:w="6354" w:type="dxa"/>
            <w:gridSpan w:val="7"/>
            <w:vAlign w:val="center"/>
          </w:tcPr>
          <w:p w14:paraId="150B3AC5" w14:textId="13722558" w:rsidR="00855E40" w:rsidRPr="0098434E" w:rsidRDefault="00855E40" w:rsidP="0098434E">
            <w:pPr>
              <w:tabs>
                <w:tab w:val="left" w:pos="720"/>
              </w:tabs>
              <w:spacing w:after="0" w:line="276" w:lineRule="auto"/>
              <w:jc w:val="both"/>
              <w:rPr>
                <w:rFonts w:ascii="Trebuchet MS" w:eastAsia="Times New Roman" w:hAnsi="Trebuchet MS"/>
                <w:noProof/>
                <w:color w:val="000000"/>
                <w:lang w:val="ro-RO"/>
              </w:rPr>
            </w:pPr>
            <w:r w:rsidRPr="0098434E">
              <w:rPr>
                <w:rFonts w:ascii="Trebuchet MS" w:hAnsi="Trebuchet MS"/>
                <w:bCs/>
                <w:lang w:val="ro-RO"/>
              </w:rPr>
              <w:t>Prezentul</w:t>
            </w:r>
            <w:r w:rsidRPr="0098434E">
              <w:rPr>
                <w:rFonts w:ascii="Trebuchet MS" w:hAnsi="Trebuchet MS"/>
                <w:lang w:val="ro-RO"/>
              </w:rPr>
              <w:t xml:space="preserve"> act normativ nu generează influențe financiare având în vedere că Fondul de rezervă bugetară la dispoziția Guvernului este parte a bugetului general consolidat</w:t>
            </w:r>
          </w:p>
        </w:tc>
      </w:tr>
      <w:tr w:rsidR="00C73CDD" w:rsidRPr="0098434E" w14:paraId="4C9582B1" w14:textId="77777777" w:rsidTr="002F1F21">
        <w:trPr>
          <w:trHeight w:val="45"/>
        </w:trPr>
        <w:tc>
          <w:tcPr>
            <w:tcW w:w="10915" w:type="dxa"/>
            <w:gridSpan w:val="11"/>
          </w:tcPr>
          <w:p w14:paraId="3C0A89AA"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Secţiunea a 5-a</w:t>
            </w:r>
          </w:p>
          <w:p w14:paraId="7B502482" w14:textId="67405EC8" w:rsidR="00C73CDD" w:rsidRPr="0098434E" w:rsidRDefault="00C73CDD" w:rsidP="0098434E">
            <w:pPr>
              <w:spacing w:after="0" w:line="276" w:lineRule="auto"/>
              <w:contextualSpacing/>
              <w:jc w:val="center"/>
              <w:rPr>
                <w:rFonts w:ascii="Trebuchet MS" w:eastAsia="Times New Roman" w:hAnsi="Trebuchet MS"/>
                <w:iCs/>
                <w:noProof/>
                <w:color w:val="000000"/>
                <w:lang w:val="ro-RO"/>
              </w:rPr>
            </w:pPr>
            <w:r w:rsidRPr="0098434E">
              <w:rPr>
                <w:rFonts w:ascii="Trebuchet MS" w:eastAsia="Times New Roman" w:hAnsi="Trebuchet MS"/>
                <w:b/>
                <w:iCs/>
                <w:noProof/>
                <w:color w:val="000000"/>
                <w:lang w:val="ro-RO"/>
              </w:rPr>
              <w:t xml:space="preserve">Efectele </w:t>
            </w:r>
            <w:r w:rsidR="005876FF" w:rsidRPr="0098434E">
              <w:rPr>
                <w:rFonts w:ascii="Trebuchet MS" w:eastAsia="Times New Roman" w:hAnsi="Trebuchet MS"/>
                <w:b/>
                <w:iCs/>
                <w:noProof/>
                <w:color w:val="000000"/>
                <w:lang w:val="ro-RO"/>
              </w:rPr>
              <w:t>act</w:t>
            </w:r>
            <w:r w:rsidR="000A7E22" w:rsidRPr="0098434E">
              <w:rPr>
                <w:rFonts w:ascii="Trebuchet MS" w:eastAsia="Times New Roman" w:hAnsi="Trebuchet MS"/>
                <w:b/>
                <w:iCs/>
                <w:noProof/>
                <w:color w:val="000000"/>
                <w:lang w:val="ro-RO"/>
              </w:rPr>
              <w:t>ului</w:t>
            </w:r>
            <w:r w:rsidRPr="0098434E">
              <w:rPr>
                <w:rFonts w:ascii="Trebuchet MS" w:eastAsia="Times New Roman" w:hAnsi="Trebuchet MS"/>
                <w:b/>
                <w:iCs/>
                <w:noProof/>
                <w:color w:val="000000"/>
                <w:lang w:val="ro-RO"/>
              </w:rPr>
              <w:t xml:space="preserve"> normativ asupra legislaţiei în vigoare</w:t>
            </w:r>
            <w:r w:rsidRPr="0098434E">
              <w:rPr>
                <w:rFonts w:ascii="Trebuchet MS" w:eastAsia="Times New Roman" w:hAnsi="Trebuchet MS"/>
                <w:iCs/>
                <w:noProof/>
                <w:color w:val="000000"/>
                <w:lang w:val="ro-RO"/>
              </w:rPr>
              <w:t xml:space="preserve">   </w:t>
            </w:r>
          </w:p>
        </w:tc>
      </w:tr>
      <w:tr w:rsidR="00C73CDD" w:rsidRPr="0098434E" w14:paraId="6460F4F9" w14:textId="77777777" w:rsidTr="002F1F21">
        <w:trPr>
          <w:trHeight w:val="45"/>
        </w:trPr>
        <w:tc>
          <w:tcPr>
            <w:tcW w:w="851" w:type="dxa"/>
          </w:tcPr>
          <w:p w14:paraId="1EC396B2"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5.1.</w:t>
            </w:r>
          </w:p>
        </w:tc>
        <w:tc>
          <w:tcPr>
            <w:tcW w:w="3710" w:type="dxa"/>
            <w:gridSpan w:val="3"/>
          </w:tcPr>
          <w:p w14:paraId="5078EEB3" w14:textId="77777777" w:rsidR="00C73CDD" w:rsidRPr="0098434E" w:rsidRDefault="00C73CDD" w:rsidP="0098434E">
            <w:pPr>
              <w:autoSpaceDE w:val="0"/>
              <w:autoSpaceDN w:val="0"/>
              <w:adjustRightInd w:val="0"/>
              <w:spacing w:after="0" w:line="276" w:lineRule="auto"/>
              <w:jc w:val="both"/>
              <w:rPr>
                <w:rFonts w:ascii="Trebuchet MS" w:eastAsia="Times New Roman" w:hAnsi="Trebuchet MS"/>
                <w:i/>
                <w:iCs/>
                <w:noProof/>
                <w:color w:val="000000"/>
                <w:lang w:val="ro-RO"/>
              </w:rPr>
            </w:pPr>
            <w:r w:rsidRPr="0098434E">
              <w:rPr>
                <w:rFonts w:ascii="Trebuchet MS" w:eastAsia="Times New Roman" w:hAnsi="Trebuchet MS"/>
                <w:iCs/>
                <w:noProof/>
                <w:color w:val="000000"/>
                <w:lang w:val="ro-RO"/>
              </w:rPr>
              <w:t>Măsuri normative necesare pentru aplicarea prevederilor actului normativ</w:t>
            </w:r>
          </w:p>
        </w:tc>
        <w:tc>
          <w:tcPr>
            <w:tcW w:w="6354" w:type="dxa"/>
            <w:gridSpan w:val="7"/>
          </w:tcPr>
          <w:p w14:paraId="4A6A202B" w14:textId="047B5967"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15BBDBE6" w14:textId="77777777" w:rsidTr="002F1F21">
        <w:trPr>
          <w:trHeight w:val="45"/>
        </w:trPr>
        <w:tc>
          <w:tcPr>
            <w:tcW w:w="851" w:type="dxa"/>
          </w:tcPr>
          <w:p w14:paraId="76A2EF1D"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5.2.</w:t>
            </w:r>
          </w:p>
        </w:tc>
        <w:tc>
          <w:tcPr>
            <w:tcW w:w="3710" w:type="dxa"/>
            <w:gridSpan w:val="3"/>
          </w:tcPr>
          <w:p w14:paraId="63BC12A2" w14:textId="77777777" w:rsidR="00C73CDD" w:rsidRPr="0098434E" w:rsidRDefault="00C73CDD" w:rsidP="0098434E">
            <w:pPr>
              <w:autoSpaceDE w:val="0"/>
              <w:autoSpaceDN w:val="0"/>
              <w:adjustRightInd w:val="0"/>
              <w:spacing w:after="0" w:line="276" w:lineRule="auto"/>
              <w:jc w:val="both"/>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Impactul asupra legislaţiei în domeniul achiziţiilor publice</w:t>
            </w:r>
          </w:p>
        </w:tc>
        <w:tc>
          <w:tcPr>
            <w:tcW w:w="6354" w:type="dxa"/>
            <w:gridSpan w:val="7"/>
          </w:tcPr>
          <w:p w14:paraId="4123CEA8" w14:textId="66987B42"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11C669F6" w14:textId="77777777" w:rsidTr="002F1F21">
        <w:trPr>
          <w:trHeight w:val="45"/>
        </w:trPr>
        <w:tc>
          <w:tcPr>
            <w:tcW w:w="851" w:type="dxa"/>
          </w:tcPr>
          <w:p w14:paraId="62EFCA5D"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lastRenderedPageBreak/>
              <w:t>5.3.</w:t>
            </w:r>
          </w:p>
        </w:tc>
        <w:tc>
          <w:tcPr>
            <w:tcW w:w="3710" w:type="dxa"/>
            <w:gridSpan w:val="3"/>
          </w:tcPr>
          <w:p w14:paraId="24333A63" w14:textId="77777777" w:rsidR="00C73CDD" w:rsidRPr="0098434E" w:rsidRDefault="00C73CDD" w:rsidP="0098434E">
            <w:pPr>
              <w:autoSpaceDE w:val="0"/>
              <w:autoSpaceDN w:val="0"/>
              <w:adjustRightInd w:val="0"/>
              <w:spacing w:after="0" w:line="276" w:lineRule="auto"/>
              <w:jc w:val="both"/>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Conformitatea actului normativ cu legislaţia UE (în cazul proiectelor ce transpun sau asigură aplicarea unor prevederi de drept UE).</w:t>
            </w:r>
          </w:p>
        </w:tc>
        <w:tc>
          <w:tcPr>
            <w:tcW w:w="6354" w:type="dxa"/>
            <w:gridSpan w:val="7"/>
          </w:tcPr>
          <w:p w14:paraId="5C53B151" w14:textId="0803E5CE"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295C294D" w14:textId="77777777" w:rsidTr="002F1F21">
        <w:trPr>
          <w:trHeight w:val="45"/>
        </w:trPr>
        <w:tc>
          <w:tcPr>
            <w:tcW w:w="851" w:type="dxa"/>
          </w:tcPr>
          <w:p w14:paraId="03DBCDAD" w14:textId="77777777" w:rsidR="00C73CDD" w:rsidRPr="0098434E" w:rsidRDefault="00C73CDD" w:rsidP="0098434E">
            <w:pPr>
              <w:spacing w:after="0" w:line="276" w:lineRule="auto"/>
              <w:ind w:right="-109"/>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5.3.1.</w:t>
            </w:r>
          </w:p>
        </w:tc>
        <w:tc>
          <w:tcPr>
            <w:tcW w:w="3710" w:type="dxa"/>
            <w:gridSpan w:val="3"/>
          </w:tcPr>
          <w:p w14:paraId="226E0804" w14:textId="77777777" w:rsidR="00C73CDD" w:rsidRPr="0098434E" w:rsidRDefault="00C73CDD" w:rsidP="0098434E">
            <w:pPr>
              <w:autoSpaceDE w:val="0"/>
              <w:autoSpaceDN w:val="0"/>
              <w:adjustRightInd w:val="0"/>
              <w:spacing w:after="0" w:line="276" w:lineRule="auto"/>
              <w:jc w:val="both"/>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Măsuri normative necesare transpunerii directivelor UE</w:t>
            </w:r>
          </w:p>
        </w:tc>
        <w:tc>
          <w:tcPr>
            <w:tcW w:w="6354" w:type="dxa"/>
            <w:gridSpan w:val="7"/>
          </w:tcPr>
          <w:p w14:paraId="723654B2" w14:textId="1633A1B7"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40252E14" w14:textId="77777777" w:rsidTr="002F1F21">
        <w:trPr>
          <w:trHeight w:val="45"/>
        </w:trPr>
        <w:tc>
          <w:tcPr>
            <w:tcW w:w="851" w:type="dxa"/>
          </w:tcPr>
          <w:p w14:paraId="4FA93388"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  5.3.2.</w:t>
            </w:r>
          </w:p>
        </w:tc>
        <w:tc>
          <w:tcPr>
            <w:tcW w:w="3710" w:type="dxa"/>
            <w:gridSpan w:val="3"/>
          </w:tcPr>
          <w:p w14:paraId="292AC9F7" w14:textId="77777777" w:rsidR="00C73CDD" w:rsidRPr="0098434E" w:rsidRDefault="00C73CDD" w:rsidP="0098434E">
            <w:pPr>
              <w:autoSpaceDE w:val="0"/>
              <w:autoSpaceDN w:val="0"/>
              <w:adjustRightInd w:val="0"/>
              <w:spacing w:after="0" w:line="276" w:lineRule="auto"/>
              <w:jc w:val="both"/>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Măsuri normative necesare aplicării actelor legislative ale UE</w:t>
            </w:r>
          </w:p>
        </w:tc>
        <w:tc>
          <w:tcPr>
            <w:tcW w:w="6354" w:type="dxa"/>
            <w:gridSpan w:val="7"/>
          </w:tcPr>
          <w:p w14:paraId="6992CF3C" w14:textId="250A54A5"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12ED400D" w14:textId="77777777" w:rsidTr="002F1F21">
        <w:trPr>
          <w:trHeight w:val="45"/>
        </w:trPr>
        <w:tc>
          <w:tcPr>
            <w:tcW w:w="851" w:type="dxa"/>
          </w:tcPr>
          <w:p w14:paraId="6D6583B7"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5.4.</w:t>
            </w:r>
          </w:p>
        </w:tc>
        <w:tc>
          <w:tcPr>
            <w:tcW w:w="3710" w:type="dxa"/>
            <w:gridSpan w:val="3"/>
          </w:tcPr>
          <w:p w14:paraId="6A7AE423" w14:textId="77777777" w:rsidR="00C73CDD" w:rsidRPr="0098434E" w:rsidRDefault="00C73CDD" w:rsidP="0098434E">
            <w:pPr>
              <w:autoSpaceDE w:val="0"/>
              <w:autoSpaceDN w:val="0"/>
              <w:adjustRightInd w:val="0"/>
              <w:spacing w:after="0" w:line="276" w:lineRule="auto"/>
              <w:jc w:val="both"/>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 xml:space="preserve">Hotărâri ale Curţii de Justiţie a Uniunii Europene </w:t>
            </w:r>
          </w:p>
        </w:tc>
        <w:tc>
          <w:tcPr>
            <w:tcW w:w="6354" w:type="dxa"/>
            <w:gridSpan w:val="7"/>
          </w:tcPr>
          <w:p w14:paraId="078EF8D9" w14:textId="5685E05E"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0A6C1920" w14:textId="77777777" w:rsidTr="002F1F21">
        <w:trPr>
          <w:trHeight w:val="252"/>
        </w:trPr>
        <w:tc>
          <w:tcPr>
            <w:tcW w:w="851" w:type="dxa"/>
          </w:tcPr>
          <w:p w14:paraId="32BEF470"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5.5.</w:t>
            </w:r>
          </w:p>
        </w:tc>
        <w:tc>
          <w:tcPr>
            <w:tcW w:w="3710" w:type="dxa"/>
            <w:gridSpan w:val="3"/>
          </w:tcPr>
          <w:p w14:paraId="62B42BA0" w14:textId="77777777" w:rsidR="00C73CDD" w:rsidRPr="0098434E" w:rsidRDefault="00C73CDD" w:rsidP="0098434E">
            <w:pPr>
              <w:autoSpaceDE w:val="0"/>
              <w:autoSpaceDN w:val="0"/>
              <w:adjustRightInd w:val="0"/>
              <w:spacing w:after="0" w:line="276" w:lineRule="auto"/>
              <w:jc w:val="both"/>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 xml:space="preserve">Alte acte normative şi/sau documente internaţionale din care decurg angajamente asumate </w:t>
            </w:r>
          </w:p>
        </w:tc>
        <w:tc>
          <w:tcPr>
            <w:tcW w:w="6354" w:type="dxa"/>
            <w:gridSpan w:val="7"/>
          </w:tcPr>
          <w:p w14:paraId="34FA8925" w14:textId="5A5D3B2E" w:rsidR="00C73CDD" w:rsidRPr="0098434E" w:rsidRDefault="00C73CDD"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34022016" w14:textId="77777777" w:rsidTr="002F1F21">
        <w:trPr>
          <w:trHeight w:val="252"/>
        </w:trPr>
        <w:tc>
          <w:tcPr>
            <w:tcW w:w="851" w:type="dxa"/>
          </w:tcPr>
          <w:p w14:paraId="700C9B71"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5.6.</w:t>
            </w:r>
          </w:p>
        </w:tc>
        <w:tc>
          <w:tcPr>
            <w:tcW w:w="3710" w:type="dxa"/>
            <w:gridSpan w:val="3"/>
          </w:tcPr>
          <w:p w14:paraId="2EB42E72" w14:textId="77777777" w:rsidR="00C73CDD" w:rsidRPr="0098434E" w:rsidRDefault="00C73CDD" w:rsidP="0098434E">
            <w:pPr>
              <w:autoSpaceDE w:val="0"/>
              <w:autoSpaceDN w:val="0"/>
              <w:adjustRightInd w:val="0"/>
              <w:spacing w:after="0" w:line="276" w:lineRule="auto"/>
              <w:jc w:val="both"/>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Alte informaţii</w:t>
            </w:r>
          </w:p>
        </w:tc>
        <w:tc>
          <w:tcPr>
            <w:tcW w:w="6354" w:type="dxa"/>
            <w:gridSpan w:val="7"/>
          </w:tcPr>
          <w:p w14:paraId="66C523FA" w14:textId="45B4472D" w:rsidR="00C73CDD" w:rsidRPr="0098434E" w:rsidRDefault="00C73CDD" w:rsidP="0098434E">
            <w:pPr>
              <w:spacing w:after="0" w:line="276" w:lineRule="auto"/>
              <w:contextualSpacing/>
              <w:jc w:val="both"/>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w:t>
            </w:r>
          </w:p>
        </w:tc>
      </w:tr>
      <w:tr w:rsidR="00C73CDD" w:rsidRPr="0098434E" w14:paraId="5FAC8C00" w14:textId="77777777" w:rsidTr="002F1F21">
        <w:trPr>
          <w:trHeight w:val="45"/>
        </w:trPr>
        <w:tc>
          <w:tcPr>
            <w:tcW w:w="10915" w:type="dxa"/>
            <w:gridSpan w:val="11"/>
            <w:vAlign w:val="center"/>
          </w:tcPr>
          <w:p w14:paraId="5095C5E8"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Secţiunea a 6-a</w:t>
            </w:r>
          </w:p>
          <w:p w14:paraId="1CD62DED" w14:textId="6F682278"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Consultările efectuate în vederea elaborării act</w:t>
            </w:r>
            <w:r w:rsidR="000A7E22" w:rsidRPr="0098434E">
              <w:rPr>
                <w:rFonts w:ascii="Trebuchet MS" w:eastAsia="Times New Roman" w:hAnsi="Trebuchet MS"/>
                <w:b/>
                <w:noProof/>
                <w:color w:val="000000"/>
                <w:lang w:val="ro-RO"/>
              </w:rPr>
              <w:t>ului</w:t>
            </w:r>
            <w:r w:rsidRPr="0098434E">
              <w:rPr>
                <w:rFonts w:ascii="Trebuchet MS" w:eastAsia="Times New Roman" w:hAnsi="Trebuchet MS"/>
                <w:b/>
                <w:noProof/>
                <w:color w:val="000000"/>
                <w:lang w:val="ro-RO"/>
              </w:rPr>
              <w:t xml:space="preserve"> normativ </w:t>
            </w:r>
          </w:p>
        </w:tc>
      </w:tr>
      <w:tr w:rsidR="00C73CDD" w:rsidRPr="0098434E" w14:paraId="39EE2A34" w14:textId="77777777" w:rsidTr="002F1F21">
        <w:trPr>
          <w:trHeight w:val="55"/>
        </w:trPr>
        <w:tc>
          <w:tcPr>
            <w:tcW w:w="851" w:type="dxa"/>
          </w:tcPr>
          <w:p w14:paraId="7983D0F6"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6.1.</w:t>
            </w:r>
          </w:p>
        </w:tc>
        <w:tc>
          <w:tcPr>
            <w:tcW w:w="5670" w:type="dxa"/>
            <w:gridSpan w:val="5"/>
          </w:tcPr>
          <w:p w14:paraId="50F45BF6"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Informaţii privind neaplicarea procedurii de participare la elaborarea actelor normative</w:t>
            </w:r>
          </w:p>
        </w:tc>
        <w:tc>
          <w:tcPr>
            <w:tcW w:w="4394" w:type="dxa"/>
            <w:gridSpan w:val="5"/>
          </w:tcPr>
          <w:p w14:paraId="4978CA1A" w14:textId="28CA522A" w:rsidR="00C73CDD" w:rsidRPr="0098434E" w:rsidRDefault="005B4B36"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758602B4" w14:textId="77777777" w:rsidTr="002F1F21">
        <w:trPr>
          <w:trHeight w:val="52"/>
        </w:trPr>
        <w:tc>
          <w:tcPr>
            <w:tcW w:w="851" w:type="dxa"/>
          </w:tcPr>
          <w:p w14:paraId="00D5CFCE"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6.2.</w:t>
            </w:r>
          </w:p>
        </w:tc>
        <w:tc>
          <w:tcPr>
            <w:tcW w:w="5670" w:type="dxa"/>
            <w:gridSpan w:val="5"/>
          </w:tcPr>
          <w:p w14:paraId="2591CD2E"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Informaţii privind procesul de consultare cu organizaţii neguvernamentale, institute de cercetare şi alte organisme implicate</w:t>
            </w:r>
          </w:p>
        </w:tc>
        <w:tc>
          <w:tcPr>
            <w:tcW w:w="4394" w:type="dxa"/>
            <w:gridSpan w:val="5"/>
          </w:tcPr>
          <w:p w14:paraId="65793228" w14:textId="140138EC" w:rsidR="00C73CDD" w:rsidRPr="0098434E" w:rsidRDefault="005B4B36"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3D3E1851" w14:textId="77777777" w:rsidTr="002F1F21">
        <w:trPr>
          <w:trHeight w:val="52"/>
        </w:trPr>
        <w:tc>
          <w:tcPr>
            <w:tcW w:w="851" w:type="dxa"/>
          </w:tcPr>
          <w:p w14:paraId="3122B791"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6.3.</w:t>
            </w:r>
          </w:p>
        </w:tc>
        <w:tc>
          <w:tcPr>
            <w:tcW w:w="5670" w:type="dxa"/>
            <w:gridSpan w:val="5"/>
          </w:tcPr>
          <w:p w14:paraId="1BE8F90A" w14:textId="77777777" w:rsidR="00C73CDD" w:rsidRPr="0098434E" w:rsidRDefault="00C73CDD" w:rsidP="0098434E">
            <w:pPr>
              <w:spacing w:after="0" w:line="276" w:lineRule="auto"/>
              <w:contextualSpacing/>
              <w:rPr>
                <w:rFonts w:ascii="Trebuchet MS" w:eastAsia="Times New Roman" w:hAnsi="Trebuchet MS"/>
                <w:noProof/>
                <w:color w:val="000000"/>
                <w:lang w:val="ro-RO"/>
              </w:rPr>
            </w:pPr>
            <w:r w:rsidRPr="0098434E">
              <w:rPr>
                <w:rFonts w:ascii="Trebuchet MS" w:eastAsia="Times New Roman" w:hAnsi="Trebuchet MS"/>
                <w:noProof/>
                <w:color w:val="000000"/>
                <w:lang w:val="ro-RO"/>
              </w:rPr>
              <w:t>Informaţii despre consultările organizate cu autorităţile administraţiei publice locale</w:t>
            </w:r>
          </w:p>
        </w:tc>
        <w:tc>
          <w:tcPr>
            <w:tcW w:w="4394" w:type="dxa"/>
            <w:gridSpan w:val="5"/>
          </w:tcPr>
          <w:p w14:paraId="53A6B36C" w14:textId="0AD3047D" w:rsidR="00C73CDD" w:rsidRPr="0098434E" w:rsidRDefault="005B4B36"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45739DF3" w14:textId="77777777" w:rsidTr="002F1F21">
        <w:trPr>
          <w:trHeight w:val="52"/>
        </w:trPr>
        <w:tc>
          <w:tcPr>
            <w:tcW w:w="851" w:type="dxa"/>
          </w:tcPr>
          <w:p w14:paraId="1237AC5A"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6.4.</w:t>
            </w:r>
          </w:p>
        </w:tc>
        <w:tc>
          <w:tcPr>
            <w:tcW w:w="5670" w:type="dxa"/>
            <w:gridSpan w:val="5"/>
          </w:tcPr>
          <w:p w14:paraId="7CDBB2C3" w14:textId="77777777" w:rsidR="00C73CDD" w:rsidRPr="0098434E" w:rsidRDefault="00C73CDD" w:rsidP="0098434E">
            <w:pPr>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Informaţii privind puncte de vedere/opinii emise de organisme consultative constituite prin acte normative</w:t>
            </w:r>
          </w:p>
        </w:tc>
        <w:tc>
          <w:tcPr>
            <w:tcW w:w="4394" w:type="dxa"/>
            <w:gridSpan w:val="5"/>
          </w:tcPr>
          <w:p w14:paraId="1365DA47" w14:textId="4A518AEB" w:rsidR="00C73CDD" w:rsidRPr="0098434E" w:rsidRDefault="005B4B36" w:rsidP="0098434E">
            <w:pPr>
              <w:spacing w:line="276" w:lineRule="auto"/>
              <w:rPr>
                <w:rFonts w:ascii="Trebuchet MS" w:hAnsi="Trebuchet MS"/>
                <w:lang w:val="ro-RO"/>
              </w:rPr>
            </w:pPr>
            <w:r w:rsidRPr="0098434E">
              <w:rPr>
                <w:rFonts w:ascii="Trebuchet MS" w:eastAsia="Times New Roman" w:hAnsi="Trebuchet MS"/>
                <w:noProof/>
                <w:color w:val="000000"/>
                <w:lang w:val="ro-RO"/>
              </w:rPr>
              <w:t>Nu este cazul.</w:t>
            </w:r>
          </w:p>
        </w:tc>
      </w:tr>
      <w:tr w:rsidR="00C73CDD" w:rsidRPr="0098434E" w14:paraId="4203D927" w14:textId="77777777" w:rsidTr="002F1F21">
        <w:trPr>
          <w:trHeight w:val="52"/>
        </w:trPr>
        <w:tc>
          <w:tcPr>
            <w:tcW w:w="851" w:type="dxa"/>
          </w:tcPr>
          <w:p w14:paraId="7F7F4A0A"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6.5.</w:t>
            </w:r>
          </w:p>
        </w:tc>
        <w:tc>
          <w:tcPr>
            <w:tcW w:w="5670" w:type="dxa"/>
            <w:gridSpan w:val="5"/>
          </w:tcPr>
          <w:p w14:paraId="51486EDF" w14:textId="77777777" w:rsidR="00C73CDD" w:rsidRPr="0098434E" w:rsidRDefault="00C73CDD" w:rsidP="0098434E">
            <w:pPr>
              <w:autoSpaceDE w:val="0"/>
              <w:autoSpaceDN w:val="0"/>
              <w:adjustRightInd w:val="0"/>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Informaţii privind avizarea de către:                           </w:t>
            </w:r>
          </w:p>
          <w:p w14:paraId="62D249FC" w14:textId="77777777" w:rsidR="00C73CDD" w:rsidRPr="0098434E" w:rsidRDefault="00C73CDD" w:rsidP="0098434E">
            <w:pPr>
              <w:autoSpaceDE w:val="0"/>
              <w:autoSpaceDN w:val="0"/>
              <w:adjustRightInd w:val="0"/>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a) Consiliul Legislativ </w:t>
            </w:r>
          </w:p>
          <w:p w14:paraId="386D34BE" w14:textId="77777777" w:rsidR="00C73CDD" w:rsidRPr="0098434E" w:rsidRDefault="00C73CDD" w:rsidP="0098434E">
            <w:pPr>
              <w:autoSpaceDE w:val="0"/>
              <w:autoSpaceDN w:val="0"/>
              <w:adjustRightInd w:val="0"/>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b) Consiliul Suprem de Apărare a Ţării                         </w:t>
            </w:r>
          </w:p>
          <w:p w14:paraId="508D41F3" w14:textId="77777777" w:rsidR="00C73CDD" w:rsidRPr="0098434E" w:rsidRDefault="00C73CDD" w:rsidP="0098434E">
            <w:pPr>
              <w:autoSpaceDE w:val="0"/>
              <w:autoSpaceDN w:val="0"/>
              <w:adjustRightInd w:val="0"/>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c) Consiliul Economic şi Social </w:t>
            </w:r>
          </w:p>
          <w:p w14:paraId="5627FAD1" w14:textId="77777777" w:rsidR="00C73CDD" w:rsidRPr="0098434E" w:rsidRDefault="00C73CDD" w:rsidP="0098434E">
            <w:pPr>
              <w:autoSpaceDE w:val="0"/>
              <w:autoSpaceDN w:val="0"/>
              <w:adjustRightInd w:val="0"/>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d) Consiliul Concurenţei    </w:t>
            </w:r>
          </w:p>
          <w:p w14:paraId="56CE0136" w14:textId="77777777" w:rsidR="00C73CDD" w:rsidRPr="0098434E" w:rsidRDefault="00C73CDD" w:rsidP="0098434E">
            <w:pPr>
              <w:autoSpaceDE w:val="0"/>
              <w:autoSpaceDN w:val="0"/>
              <w:adjustRightInd w:val="0"/>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e) Curtea de Conturi             </w:t>
            </w:r>
          </w:p>
        </w:tc>
        <w:tc>
          <w:tcPr>
            <w:tcW w:w="4394" w:type="dxa"/>
            <w:gridSpan w:val="5"/>
          </w:tcPr>
          <w:p w14:paraId="0B010AB1" w14:textId="6E9B770E" w:rsidR="00C73CDD" w:rsidRPr="0098434E" w:rsidRDefault="005B4B36"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Nu este cazul.</w:t>
            </w:r>
          </w:p>
        </w:tc>
      </w:tr>
      <w:tr w:rsidR="00C73CDD" w:rsidRPr="0098434E" w14:paraId="2F4A5B40" w14:textId="77777777" w:rsidTr="002F1F21">
        <w:trPr>
          <w:trHeight w:val="52"/>
        </w:trPr>
        <w:tc>
          <w:tcPr>
            <w:tcW w:w="851" w:type="dxa"/>
          </w:tcPr>
          <w:p w14:paraId="28AE977E"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6.6.</w:t>
            </w:r>
          </w:p>
        </w:tc>
        <w:tc>
          <w:tcPr>
            <w:tcW w:w="5670" w:type="dxa"/>
            <w:gridSpan w:val="5"/>
          </w:tcPr>
          <w:p w14:paraId="4CF68CF2" w14:textId="77777777" w:rsidR="00C73CDD" w:rsidRPr="0098434E" w:rsidRDefault="00C73CDD" w:rsidP="0098434E">
            <w:pPr>
              <w:autoSpaceDE w:val="0"/>
              <w:autoSpaceDN w:val="0"/>
              <w:adjustRightInd w:val="0"/>
              <w:spacing w:after="0" w:line="276" w:lineRule="auto"/>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 xml:space="preserve">Alte informaţii                  </w:t>
            </w:r>
          </w:p>
        </w:tc>
        <w:tc>
          <w:tcPr>
            <w:tcW w:w="4394" w:type="dxa"/>
            <w:gridSpan w:val="5"/>
          </w:tcPr>
          <w:p w14:paraId="63B32C93" w14:textId="11D48C54" w:rsidR="00C73CDD" w:rsidRPr="0098434E" w:rsidRDefault="00C73CDD" w:rsidP="0098434E">
            <w:pPr>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w:t>
            </w:r>
          </w:p>
          <w:p w14:paraId="22183535" w14:textId="59CE6CE7" w:rsidR="00FF520E" w:rsidRPr="0098434E" w:rsidRDefault="00FF520E" w:rsidP="0098434E">
            <w:pPr>
              <w:spacing w:after="0" w:line="276" w:lineRule="auto"/>
              <w:rPr>
                <w:rFonts w:ascii="Trebuchet MS" w:eastAsia="Times New Roman" w:hAnsi="Trebuchet MS"/>
                <w:noProof/>
                <w:color w:val="000000"/>
                <w:lang w:val="ro-RO"/>
              </w:rPr>
            </w:pPr>
          </w:p>
          <w:p w14:paraId="5F34B5A1" w14:textId="104426E0" w:rsidR="00FF520E" w:rsidRPr="0098434E" w:rsidRDefault="00FF520E" w:rsidP="0098434E">
            <w:pPr>
              <w:spacing w:after="0" w:line="276" w:lineRule="auto"/>
              <w:rPr>
                <w:rFonts w:ascii="Trebuchet MS" w:eastAsia="Times New Roman" w:hAnsi="Trebuchet MS"/>
                <w:noProof/>
                <w:color w:val="000000"/>
                <w:lang w:val="ro-RO"/>
              </w:rPr>
            </w:pPr>
          </w:p>
          <w:p w14:paraId="219417B9" w14:textId="77777777" w:rsidR="00643C90" w:rsidRPr="0098434E" w:rsidRDefault="00643C90" w:rsidP="0098434E">
            <w:pPr>
              <w:spacing w:after="0" w:line="276" w:lineRule="auto"/>
              <w:rPr>
                <w:rFonts w:ascii="Trebuchet MS" w:eastAsia="Times New Roman" w:hAnsi="Trebuchet MS"/>
                <w:noProof/>
                <w:color w:val="000000"/>
                <w:lang w:val="ro-RO"/>
              </w:rPr>
            </w:pPr>
          </w:p>
          <w:p w14:paraId="298A0764" w14:textId="41AEA315" w:rsidR="00443892" w:rsidRPr="0098434E" w:rsidRDefault="00443892" w:rsidP="0098434E">
            <w:pPr>
              <w:spacing w:after="0" w:line="276" w:lineRule="auto"/>
              <w:rPr>
                <w:rFonts w:ascii="Trebuchet MS" w:eastAsia="Times New Roman" w:hAnsi="Trebuchet MS"/>
                <w:noProof/>
                <w:color w:val="000000"/>
                <w:lang w:val="ro-RO"/>
              </w:rPr>
            </w:pPr>
          </w:p>
        </w:tc>
      </w:tr>
      <w:tr w:rsidR="00C73CDD" w:rsidRPr="0098434E" w14:paraId="606379A7" w14:textId="77777777" w:rsidTr="002F1F21">
        <w:trPr>
          <w:trHeight w:val="52"/>
        </w:trPr>
        <w:tc>
          <w:tcPr>
            <w:tcW w:w="10915" w:type="dxa"/>
            <w:gridSpan w:val="11"/>
            <w:vAlign w:val="center"/>
          </w:tcPr>
          <w:p w14:paraId="529B6A82"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Secţiunea a 7-a</w:t>
            </w:r>
          </w:p>
          <w:p w14:paraId="2F51E946"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Activităţi de informare publică privind elaborarea şi implementarea</w:t>
            </w:r>
          </w:p>
          <w:p w14:paraId="746EF96B" w14:textId="77777777" w:rsidR="00C73CDD" w:rsidRPr="0098434E" w:rsidRDefault="00C73CDD" w:rsidP="0098434E">
            <w:pPr>
              <w:spacing w:after="0" w:line="276" w:lineRule="auto"/>
              <w:contextualSpacing/>
              <w:jc w:val="center"/>
              <w:rPr>
                <w:rFonts w:ascii="Trebuchet MS" w:eastAsia="Times New Roman" w:hAnsi="Trebuchet MS"/>
                <w:noProof/>
                <w:color w:val="000000"/>
                <w:lang w:val="ro-RO"/>
              </w:rPr>
            </w:pPr>
            <w:r w:rsidRPr="0098434E">
              <w:rPr>
                <w:rFonts w:ascii="Trebuchet MS" w:eastAsia="Times New Roman" w:hAnsi="Trebuchet MS"/>
                <w:b/>
                <w:noProof/>
                <w:color w:val="000000"/>
                <w:lang w:val="ro-RO"/>
              </w:rPr>
              <w:t>actului normativ</w:t>
            </w:r>
          </w:p>
        </w:tc>
      </w:tr>
      <w:tr w:rsidR="00C73CDD" w:rsidRPr="0098434E" w14:paraId="66163E83" w14:textId="77777777" w:rsidTr="002F1F21">
        <w:trPr>
          <w:trHeight w:val="105"/>
        </w:trPr>
        <w:tc>
          <w:tcPr>
            <w:tcW w:w="851" w:type="dxa"/>
            <w:vAlign w:val="center"/>
          </w:tcPr>
          <w:p w14:paraId="633ED834"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7.1.</w:t>
            </w:r>
          </w:p>
        </w:tc>
        <w:tc>
          <w:tcPr>
            <w:tcW w:w="3402" w:type="dxa"/>
            <w:gridSpan w:val="2"/>
          </w:tcPr>
          <w:p w14:paraId="7CF9293D" w14:textId="77777777" w:rsidR="00C73CDD" w:rsidRPr="0098434E" w:rsidRDefault="00C73CDD" w:rsidP="0098434E">
            <w:pPr>
              <w:spacing w:after="0" w:line="276" w:lineRule="auto"/>
              <w:contextualSpacing/>
              <w:jc w:val="both"/>
              <w:rPr>
                <w:rFonts w:ascii="Trebuchet MS" w:eastAsia="Times New Roman" w:hAnsi="Trebuchet MS"/>
                <w:iCs/>
                <w:noProof/>
                <w:color w:val="000000"/>
                <w:lang w:val="ro-RO"/>
              </w:rPr>
            </w:pPr>
            <w:r w:rsidRPr="0098434E">
              <w:rPr>
                <w:rFonts w:ascii="Trebuchet MS" w:eastAsia="Times New Roman" w:hAnsi="Trebuchet MS"/>
                <w:noProof/>
                <w:color w:val="000000"/>
                <w:lang w:val="ro-RO"/>
              </w:rPr>
              <w:t>Informarea societăţii civile cu privire la elaborarea actului normativ</w:t>
            </w:r>
          </w:p>
        </w:tc>
        <w:tc>
          <w:tcPr>
            <w:tcW w:w="6662" w:type="dxa"/>
            <w:gridSpan w:val="8"/>
          </w:tcPr>
          <w:p w14:paraId="7DB00E01" w14:textId="2BE93332" w:rsidR="00C73CDD" w:rsidRPr="0098434E" w:rsidRDefault="00443878" w:rsidP="0098434E">
            <w:pPr>
              <w:autoSpaceDE w:val="0"/>
              <w:autoSpaceDN w:val="0"/>
              <w:adjustRightInd w:val="0"/>
              <w:spacing w:after="0" w:line="276" w:lineRule="auto"/>
              <w:jc w:val="both"/>
              <w:rPr>
                <w:rFonts w:ascii="Trebuchet MS" w:hAnsi="Trebuchet MS"/>
                <w:noProof/>
                <w:color w:val="000000"/>
                <w:lang w:val="ro-RO"/>
              </w:rPr>
            </w:pPr>
            <w:r w:rsidRPr="0098434E">
              <w:rPr>
                <w:rFonts w:ascii="Trebuchet MS" w:eastAsia="Times New Roman" w:hAnsi="Trebuchet MS"/>
                <w:noProof/>
                <w:color w:val="000000"/>
                <w:lang w:val="ro-RO"/>
              </w:rPr>
              <w:t>Nu este cazul.</w:t>
            </w:r>
          </w:p>
        </w:tc>
      </w:tr>
      <w:tr w:rsidR="00C73CDD" w:rsidRPr="0098434E" w14:paraId="010B8955" w14:textId="77777777" w:rsidTr="002F1F21">
        <w:trPr>
          <w:trHeight w:val="105"/>
        </w:trPr>
        <w:tc>
          <w:tcPr>
            <w:tcW w:w="851" w:type="dxa"/>
            <w:vAlign w:val="center"/>
          </w:tcPr>
          <w:p w14:paraId="7E69150E" w14:textId="77777777" w:rsidR="00C73CDD" w:rsidRPr="0098434E" w:rsidRDefault="00C73CDD" w:rsidP="0098434E">
            <w:pPr>
              <w:spacing w:after="0" w:line="276" w:lineRule="auto"/>
              <w:contextualSpacing/>
              <w:jc w:val="right"/>
              <w:rPr>
                <w:rFonts w:ascii="Trebuchet MS" w:eastAsia="Times New Roman" w:hAnsi="Trebuchet MS"/>
                <w:noProof/>
                <w:color w:val="000000"/>
                <w:lang w:val="ro-RO"/>
              </w:rPr>
            </w:pPr>
            <w:r w:rsidRPr="0098434E">
              <w:rPr>
                <w:rFonts w:ascii="Trebuchet MS" w:eastAsia="Times New Roman" w:hAnsi="Trebuchet MS"/>
                <w:noProof/>
                <w:color w:val="000000"/>
                <w:lang w:val="ro-RO"/>
              </w:rPr>
              <w:t>7.2.</w:t>
            </w:r>
          </w:p>
        </w:tc>
        <w:tc>
          <w:tcPr>
            <w:tcW w:w="3402" w:type="dxa"/>
            <w:gridSpan w:val="2"/>
          </w:tcPr>
          <w:p w14:paraId="2059C8C0" w14:textId="77777777" w:rsidR="00C73CDD" w:rsidRPr="0098434E" w:rsidRDefault="00C73CDD"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 xml:space="preserve">Informarea societăţii civile cu privire la eventualul impact asupra mediului în urma implementării actului normativ, precum şi efectele asupra sănătăţii şi securităţii </w:t>
            </w:r>
            <w:r w:rsidRPr="0098434E">
              <w:rPr>
                <w:rFonts w:ascii="Trebuchet MS" w:eastAsia="Times New Roman" w:hAnsi="Trebuchet MS"/>
                <w:noProof/>
                <w:color w:val="000000"/>
                <w:lang w:val="ro-RO"/>
              </w:rPr>
              <w:lastRenderedPageBreak/>
              <w:t>cetăţenilor sau diversităţii biologice</w:t>
            </w:r>
          </w:p>
        </w:tc>
        <w:tc>
          <w:tcPr>
            <w:tcW w:w="6662" w:type="dxa"/>
            <w:gridSpan w:val="8"/>
          </w:tcPr>
          <w:p w14:paraId="2F774199" w14:textId="77777777" w:rsidR="00C73CDD" w:rsidRPr="0098434E" w:rsidRDefault="00C73CDD" w:rsidP="0098434E">
            <w:pPr>
              <w:spacing w:after="0" w:line="276" w:lineRule="auto"/>
              <w:jc w:val="both"/>
              <w:rPr>
                <w:rFonts w:ascii="Trebuchet MS" w:eastAsia="Times New Roman" w:hAnsi="Trebuchet MS"/>
                <w:noProof/>
                <w:color w:val="000000"/>
                <w:lang w:val="ro-RO"/>
              </w:rPr>
            </w:pPr>
          </w:p>
          <w:p w14:paraId="0D1C47E0" w14:textId="77777777" w:rsidR="00C73CDD" w:rsidRPr="0098434E" w:rsidRDefault="00C73CDD" w:rsidP="0098434E">
            <w:pPr>
              <w:spacing w:after="0" w:line="276" w:lineRule="auto"/>
              <w:jc w:val="both"/>
              <w:rPr>
                <w:rFonts w:ascii="Trebuchet MS" w:eastAsia="Times New Roman" w:hAnsi="Trebuchet MS"/>
                <w:noProof/>
                <w:color w:val="000000"/>
                <w:lang w:val="ro-RO"/>
              </w:rPr>
            </w:pPr>
          </w:p>
          <w:p w14:paraId="10FE262F" w14:textId="497CFF52" w:rsidR="00C73CDD" w:rsidRPr="0098434E" w:rsidRDefault="00C73CDD" w:rsidP="0098434E">
            <w:pPr>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Nu este cazul.</w:t>
            </w:r>
          </w:p>
        </w:tc>
      </w:tr>
      <w:tr w:rsidR="00C73CDD" w:rsidRPr="0098434E" w14:paraId="1523D822" w14:textId="77777777" w:rsidTr="002F1F21">
        <w:trPr>
          <w:trHeight w:val="105"/>
        </w:trPr>
        <w:tc>
          <w:tcPr>
            <w:tcW w:w="10915" w:type="dxa"/>
            <w:gridSpan w:val="11"/>
            <w:vAlign w:val="center"/>
          </w:tcPr>
          <w:p w14:paraId="32A03475" w14:textId="77777777" w:rsidR="00C73CDD" w:rsidRPr="0098434E" w:rsidRDefault="00C73CDD" w:rsidP="0098434E">
            <w:pPr>
              <w:spacing w:after="0" w:line="276" w:lineRule="auto"/>
              <w:contextualSpacing/>
              <w:rPr>
                <w:rFonts w:ascii="Trebuchet MS" w:hAnsi="Trebuchet MS"/>
                <w:b/>
                <w:noProof/>
                <w:color w:val="000000"/>
                <w:lang w:val="ro-RO"/>
              </w:rPr>
            </w:pPr>
            <w:r w:rsidRPr="0098434E">
              <w:rPr>
                <w:rFonts w:ascii="Trebuchet MS" w:hAnsi="Trebuchet MS"/>
                <w:b/>
                <w:noProof/>
                <w:color w:val="000000"/>
                <w:lang w:val="ro-RO"/>
              </w:rPr>
              <w:t xml:space="preserve"> </w:t>
            </w:r>
          </w:p>
          <w:p w14:paraId="47093749" w14:textId="77777777" w:rsidR="00C73CDD" w:rsidRPr="0098434E" w:rsidRDefault="00C73CDD" w:rsidP="0098434E">
            <w:pPr>
              <w:spacing w:after="0" w:line="276" w:lineRule="auto"/>
              <w:contextualSpacing/>
              <w:jc w:val="center"/>
              <w:rPr>
                <w:rFonts w:ascii="Trebuchet MS" w:eastAsia="Times New Roman" w:hAnsi="Trebuchet MS"/>
                <w:b/>
                <w:noProof/>
                <w:color w:val="000000"/>
                <w:lang w:val="ro-RO"/>
              </w:rPr>
            </w:pPr>
            <w:r w:rsidRPr="0098434E">
              <w:rPr>
                <w:rFonts w:ascii="Trebuchet MS" w:eastAsia="Times New Roman" w:hAnsi="Trebuchet MS"/>
                <w:b/>
                <w:noProof/>
                <w:color w:val="000000"/>
                <w:lang w:val="ro-RO"/>
              </w:rPr>
              <w:t>Secţiunea a 8-a</w:t>
            </w:r>
          </w:p>
          <w:p w14:paraId="479AB523" w14:textId="0598FCDB" w:rsidR="00C73CDD" w:rsidRPr="0098434E" w:rsidRDefault="00C73CDD" w:rsidP="0098434E">
            <w:pPr>
              <w:spacing w:after="0" w:line="276" w:lineRule="auto"/>
              <w:contextualSpacing/>
              <w:jc w:val="center"/>
              <w:rPr>
                <w:rFonts w:ascii="Trebuchet MS" w:eastAsia="Times New Roman" w:hAnsi="Trebuchet MS"/>
                <w:noProof/>
                <w:color w:val="000000"/>
                <w:lang w:val="ro-RO"/>
              </w:rPr>
            </w:pPr>
            <w:r w:rsidRPr="0098434E">
              <w:rPr>
                <w:rFonts w:ascii="Trebuchet MS" w:eastAsia="Times New Roman" w:hAnsi="Trebuchet MS"/>
                <w:b/>
                <w:noProof/>
                <w:color w:val="000000"/>
                <w:lang w:val="ro-RO"/>
              </w:rPr>
              <w:t xml:space="preserve">Măsuri </w:t>
            </w:r>
            <w:r w:rsidR="004148FF" w:rsidRPr="0098434E">
              <w:rPr>
                <w:rFonts w:ascii="Trebuchet MS" w:eastAsia="Times New Roman" w:hAnsi="Trebuchet MS"/>
                <w:b/>
                <w:noProof/>
                <w:color w:val="000000"/>
                <w:lang w:val="ro-RO"/>
              </w:rPr>
              <w:t xml:space="preserve">privind </w:t>
            </w:r>
            <w:r w:rsidRPr="0098434E">
              <w:rPr>
                <w:rFonts w:ascii="Trebuchet MS" w:eastAsia="Times New Roman" w:hAnsi="Trebuchet MS"/>
                <w:b/>
                <w:noProof/>
                <w:color w:val="000000"/>
                <w:lang w:val="ro-RO"/>
              </w:rPr>
              <w:t>implementare</w:t>
            </w:r>
            <w:r w:rsidR="004148FF" w:rsidRPr="0098434E">
              <w:rPr>
                <w:rFonts w:ascii="Trebuchet MS" w:eastAsia="Times New Roman" w:hAnsi="Trebuchet MS"/>
                <w:b/>
                <w:noProof/>
                <w:color w:val="000000"/>
                <w:lang w:val="ro-RO"/>
              </w:rPr>
              <w:t>a, monitorizarea și evaluarea actului normativ</w:t>
            </w:r>
          </w:p>
        </w:tc>
      </w:tr>
      <w:tr w:rsidR="00C73CDD" w:rsidRPr="0098434E" w14:paraId="19F1119F" w14:textId="77777777" w:rsidTr="002F1F21">
        <w:trPr>
          <w:trHeight w:val="158"/>
        </w:trPr>
        <w:tc>
          <w:tcPr>
            <w:tcW w:w="851" w:type="dxa"/>
            <w:vAlign w:val="center"/>
          </w:tcPr>
          <w:p w14:paraId="1B2750B8" w14:textId="77777777" w:rsidR="00C73CDD" w:rsidRPr="0098434E" w:rsidRDefault="00C73CDD" w:rsidP="0098434E">
            <w:pPr>
              <w:spacing w:after="0" w:line="276" w:lineRule="auto"/>
              <w:contextualSpacing/>
              <w:jc w:val="right"/>
              <w:rPr>
                <w:rFonts w:ascii="Trebuchet MS" w:hAnsi="Trebuchet MS"/>
                <w:noProof/>
                <w:color w:val="000000"/>
                <w:lang w:val="ro-RO"/>
              </w:rPr>
            </w:pPr>
            <w:r w:rsidRPr="0098434E">
              <w:rPr>
                <w:rFonts w:ascii="Trebuchet MS" w:hAnsi="Trebuchet MS"/>
                <w:noProof/>
                <w:color w:val="000000"/>
                <w:lang w:val="ro-RO"/>
              </w:rPr>
              <w:t>8.1.</w:t>
            </w:r>
          </w:p>
        </w:tc>
        <w:tc>
          <w:tcPr>
            <w:tcW w:w="3402" w:type="dxa"/>
            <w:gridSpan w:val="2"/>
          </w:tcPr>
          <w:p w14:paraId="4E505771" w14:textId="77777777" w:rsidR="00C73CDD" w:rsidRPr="0098434E" w:rsidRDefault="00C73CDD" w:rsidP="0098434E">
            <w:pPr>
              <w:spacing w:after="0" w:line="276" w:lineRule="auto"/>
              <w:contextualSpacing/>
              <w:jc w:val="both"/>
              <w:rPr>
                <w:rFonts w:ascii="Trebuchet MS" w:eastAsia="Times New Roman" w:hAnsi="Trebuchet MS"/>
                <w:iCs/>
                <w:noProof/>
                <w:color w:val="000000"/>
                <w:lang w:val="ro-RO"/>
              </w:rPr>
            </w:pPr>
            <w:r w:rsidRPr="0098434E">
              <w:rPr>
                <w:rFonts w:ascii="Trebuchet MS" w:eastAsia="Times New Roman" w:hAnsi="Trebuchet MS"/>
                <w:noProof/>
                <w:color w:val="000000"/>
                <w:lang w:val="ro-RO"/>
              </w:rPr>
              <w:t xml:space="preserve">Măsuri de punere în aplicare a actului normativ </w:t>
            </w:r>
          </w:p>
        </w:tc>
        <w:tc>
          <w:tcPr>
            <w:tcW w:w="6662" w:type="dxa"/>
            <w:gridSpan w:val="8"/>
          </w:tcPr>
          <w:p w14:paraId="7B377785" w14:textId="0FB64E21" w:rsidR="00C73CDD" w:rsidRPr="0098434E" w:rsidRDefault="00C73CDD" w:rsidP="0098434E">
            <w:pPr>
              <w:autoSpaceDE w:val="0"/>
              <w:autoSpaceDN w:val="0"/>
              <w:adjustRightInd w:val="0"/>
              <w:spacing w:after="0" w:line="276" w:lineRule="auto"/>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Nu este cazul.</w:t>
            </w:r>
          </w:p>
        </w:tc>
      </w:tr>
      <w:tr w:rsidR="00C73CDD" w:rsidRPr="0098434E" w14:paraId="7E9F5891" w14:textId="77777777" w:rsidTr="002F1F21">
        <w:trPr>
          <w:trHeight w:val="157"/>
        </w:trPr>
        <w:tc>
          <w:tcPr>
            <w:tcW w:w="851" w:type="dxa"/>
            <w:vAlign w:val="center"/>
          </w:tcPr>
          <w:p w14:paraId="503DAE3E" w14:textId="77777777" w:rsidR="00C73CDD" w:rsidRPr="0098434E" w:rsidRDefault="00C73CDD" w:rsidP="0098434E">
            <w:pPr>
              <w:spacing w:after="0" w:line="276" w:lineRule="auto"/>
              <w:contextualSpacing/>
              <w:jc w:val="right"/>
              <w:rPr>
                <w:rFonts w:ascii="Trebuchet MS" w:hAnsi="Trebuchet MS"/>
                <w:noProof/>
                <w:color w:val="000000"/>
                <w:lang w:val="ro-RO"/>
              </w:rPr>
            </w:pPr>
            <w:r w:rsidRPr="0098434E">
              <w:rPr>
                <w:rFonts w:ascii="Trebuchet MS" w:hAnsi="Trebuchet MS"/>
                <w:noProof/>
                <w:color w:val="000000"/>
                <w:lang w:val="ro-RO"/>
              </w:rPr>
              <w:t>8.2.</w:t>
            </w:r>
          </w:p>
        </w:tc>
        <w:tc>
          <w:tcPr>
            <w:tcW w:w="3402" w:type="dxa"/>
            <w:gridSpan w:val="2"/>
          </w:tcPr>
          <w:p w14:paraId="6952642D" w14:textId="77777777" w:rsidR="00C73CDD" w:rsidRPr="0098434E" w:rsidRDefault="00C73CDD" w:rsidP="0098434E">
            <w:pPr>
              <w:autoSpaceDE w:val="0"/>
              <w:autoSpaceDN w:val="0"/>
              <w:adjustRightInd w:val="0"/>
              <w:spacing w:after="0" w:line="276" w:lineRule="auto"/>
              <w:rPr>
                <w:rFonts w:ascii="Trebuchet MS" w:eastAsia="Times New Roman" w:hAnsi="Trebuchet MS"/>
                <w:iCs/>
                <w:noProof/>
                <w:color w:val="000000"/>
                <w:lang w:val="ro-RO"/>
              </w:rPr>
            </w:pPr>
            <w:r w:rsidRPr="0098434E">
              <w:rPr>
                <w:rFonts w:ascii="Trebuchet MS" w:eastAsia="Times New Roman" w:hAnsi="Trebuchet MS"/>
                <w:iCs/>
                <w:noProof/>
                <w:color w:val="000000"/>
                <w:lang w:val="ro-RO"/>
              </w:rPr>
              <w:t xml:space="preserve">Alte informaţii    </w:t>
            </w:r>
          </w:p>
        </w:tc>
        <w:tc>
          <w:tcPr>
            <w:tcW w:w="6662" w:type="dxa"/>
            <w:gridSpan w:val="8"/>
          </w:tcPr>
          <w:p w14:paraId="18DA0285" w14:textId="35C2A6C5" w:rsidR="00C73CDD" w:rsidRPr="0098434E" w:rsidRDefault="00C73CDD" w:rsidP="0098434E">
            <w:pPr>
              <w:spacing w:after="0" w:line="276" w:lineRule="auto"/>
              <w:rPr>
                <w:rFonts w:ascii="Trebuchet MS" w:eastAsia="Times New Roman" w:hAnsi="Trebuchet MS"/>
                <w:noProof/>
                <w:color w:val="000000"/>
                <w:lang w:val="ro-RO"/>
              </w:rPr>
            </w:pPr>
            <w:r w:rsidRPr="0098434E">
              <w:rPr>
                <w:rFonts w:ascii="Trebuchet MS" w:eastAsia="Times New Roman" w:hAnsi="Trebuchet MS"/>
                <w:noProof/>
                <w:color w:val="000000"/>
                <w:lang w:val="ro-RO"/>
              </w:rPr>
              <w:t>-</w:t>
            </w:r>
          </w:p>
        </w:tc>
      </w:tr>
    </w:tbl>
    <w:p w14:paraId="4215B1FB" w14:textId="77777777" w:rsidR="006663D8" w:rsidRPr="0098434E" w:rsidRDefault="006663D8" w:rsidP="0098434E">
      <w:pPr>
        <w:spacing w:after="0" w:line="276" w:lineRule="auto"/>
        <w:jc w:val="both"/>
        <w:rPr>
          <w:rFonts w:ascii="Trebuchet MS" w:hAnsi="Trebuchet MS"/>
          <w:noProof/>
          <w:color w:val="000000"/>
          <w:lang w:val="ro-RO"/>
        </w:rPr>
      </w:pPr>
    </w:p>
    <w:p w14:paraId="285A01B2" w14:textId="4D542509" w:rsidR="00537AA8" w:rsidRPr="0098434E" w:rsidRDefault="00537AA8" w:rsidP="0098434E">
      <w:pPr>
        <w:spacing w:line="276" w:lineRule="auto"/>
        <w:ind w:right="195"/>
        <w:jc w:val="both"/>
        <w:rPr>
          <w:rFonts w:ascii="Trebuchet MS" w:eastAsia="Times New Roman" w:hAnsi="Trebuchet MS"/>
          <w:noProof/>
          <w:color w:val="000000"/>
          <w:lang w:val="ro-RO"/>
        </w:rPr>
      </w:pPr>
      <w:r w:rsidRPr="0098434E">
        <w:rPr>
          <w:rFonts w:ascii="Trebuchet MS" w:eastAsia="Times New Roman" w:hAnsi="Trebuchet MS"/>
          <w:noProof/>
          <w:color w:val="000000"/>
          <w:lang w:val="ro-RO"/>
        </w:rPr>
        <w:tab/>
        <w:t xml:space="preserve">Față de cele prezentate, a fost promovată prezenta Hotărâre a Guvernului privind </w:t>
      </w:r>
      <w:r w:rsidR="00A6441B" w:rsidRPr="0098434E">
        <w:rPr>
          <w:rFonts w:ascii="Trebuchet MS" w:eastAsia="Times New Roman" w:hAnsi="Trebuchet MS"/>
          <w:noProof/>
          <w:color w:val="000000"/>
          <w:lang w:val="ro-RO"/>
        </w:rPr>
        <w:t xml:space="preserve">suplimentarea bugetului Ministerului Public </w:t>
      </w:r>
      <w:r w:rsidRPr="0098434E">
        <w:rPr>
          <w:rFonts w:ascii="Trebuchet MS" w:eastAsia="Times New Roman" w:hAnsi="Trebuchet MS"/>
          <w:noProof/>
          <w:color w:val="000000"/>
          <w:lang w:val="ro-RO"/>
        </w:rPr>
        <w:t>din Fondul de rezervă bugetară la dispoziția Guvernului, prevăzut în buget</w:t>
      </w:r>
      <w:r w:rsidR="00A6441B" w:rsidRPr="0098434E">
        <w:rPr>
          <w:rFonts w:ascii="Trebuchet MS" w:eastAsia="Times New Roman" w:hAnsi="Trebuchet MS"/>
          <w:noProof/>
          <w:color w:val="000000"/>
          <w:lang w:val="ro-RO"/>
        </w:rPr>
        <w:t>ul de stat pe anul 2022.</w:t>
      </w:r>
    </w:p>
    <w:p w14:paraId="6766173D" w14:textId="0C11D903" w:rsidR="00E318A6" w:rsidRPr="0098434E" w:rsidRDefault="00E318A6" w:rsidP="0098434E">
      <w:pPr>
        <w:spacing w:after="0" w:line="276" w:lineRule="auto"/>
        <w:jc w:val="both"/>
        <w:rPr>
          <w:rFonts w:ascii="Trebuchet MS" w:hAnsi="Trebuchet MS"/>
          <w:b/>
          <w:noProof/>
          <w:color w:val="000000"/>
          <w:lang w:val="ro-RO"/>
        </w:rPr>
      </w:pPr>
    </w:p>
    <w:p w14:paraId="52965FAB" w14:textId="77777777" w:rsidR="006056BA" w:rsidRPr="0098434E" w:rsidRDefault="006056BA" w:rsidP="0098434E">
      <w:pPr>
        <w:spacing w:after="0" w:line="276" w:lineRule="auto"/>
        <w:jc w:val="center"/>
        <w:rPr>
          <w:rFonts w:ascii="Trebuchet MS" w:eastAsia="Times New Roman" w:hAnsi="Trebuchet MS"/>
          <w:b/>
          <w:color w:val="000000"/>
          <w:lang w:val="ro-RO" w:eastAsia="ro-RO"/>
        </w:rPr>
      </w:pPr>
    </w:p>
    <w:p w14:paraId="6DE0FB29" w14:textId="185A894C" w:rsidR="002F1F21" w:rsidRPr="0098434E" w:rsidRDefault="00FA25FF" w:rsidP="0098434E">
      <w:pPr>
        <w:spacing w:after="0" w:line="276" w:lineRule="auto"/>
        <w:contextualSpacing/>
        <w:jc w:val="center"/>
        <w:rPr>
          <w:rFonts w:ascii="Trebuchet MS" w:eastAsia="Times New Roman" w:hAnsi="Trebuchet MS"/>
          <w:b/>
          <w:lang w:val="ro-RO"/>
        </w:rPr>
      </w:pPr>
      <w:r w:rsidRPr="0098434E">
        <w:rPr>
          <w:rFonts w:ascii="Trebuchet MS" w:eastAsia="Times New Roman" w:hAnsi="Trebuchet MS"/>
          <w:b/>
          <w:lang w:val="ro-RO"/>
        </w:rPr>
        <w:t>MINISTRUL JUSTIȚIEI</w:t>
      </w:r>
    </w:p>
    <w:p w14:paraId="6451EFDD" w14:textId="77777777" w:rsidR="00DE7A2B" w:rsidRPr="0098434E" w:rsidRDefault="00DE7A2B" w:rsidP="0098434E">
      <w:pPr>
        <w:spacing w:after="0" w:line="276" w:lineRule="auto"/>
        <w:contextualSpacing/>
        <w:jc w:val="center"/>
        <w:rPr>
          <w:rFonts w:ascii="Trebuchet MS" w:eastAsia="Times New Roman" w:hAnsi="Trebuchet MS"/>
          <w:b/>
          <w:lang w:val="ro-RO"/>
        </w:rPr>
      </w:pPr>
    </w:p>
    <w:p w14:paraId="6B103E24" w14:textId="11185893" w:rsidR="002F1F21" w:rsidRPr="0098434E" w:rsidRDefault="00FA25FF" w:rsidP="0098434E">
      <w:pPr>
        <w:spacing w:after="0" w:line="276" w:lineRule="auto"/>
        <w:jc w:val="center"/>
        <w:rPr>
          <w:rFonts w:ascii="Trebuchet MS" w:eastAsia="Times New Roman" w:hAnsi="Trebuchet MS"/>
          <w:b/>
          <w:bCs/>
          <w:lang w:val="ro-RO"/>
        </w:rPr>
      </w:pPr>
      <w:r w:rsidRPr="0098434E">
        <w:rPr>
          <w:rFonts w:ascii="Trebuchet MS" w:eastAsia="Times New Roman" w:hAnsi="Trebuchet MS"/>
          <w:b/>
          <w:bCs/>
          <w:lang w:val="ro-RO"/>
        </w:rPr>
        <w:t>MARIAN CĂTĂLIN PREDOIU</w:t>
      </w:r>
    </w:p>
    <w:p w14:paraId="477A50E1" w14:textId="3A7D98AA" w:rsidR="00FA25FF" w:rsidRPr="0098434E" w:rsidRDefault="00FA25FF" w:rsidP="0098434E">
      <w:pPr>
        <w:spacing w:after="0" w:line="276" w:lineRule="auto"/>
        <w:jc w:val="center"/>
        <w:rPr>
          <w:rFonts w:ascii="Trebuchet MS" w:eastAsia="Times New Roman" w:hAnsi="Trebuchet MS"/>
          <w:b/>
          <w:bCs/>
          <w:lang w:val="ro-RO"/>
        </w:rPr>
      </w:pPr>
    </w:p>
    <w:p w14:paraId="7F5682D4" w14:textId="366BE786" w:rsidR="00FA25FF" w:rsidRPr="0098434E" w:rsidRDefault="00FA25FF" w:rsidP="0098434E">
      <w:pPr>
        <w:spacing w:after="0" w:line="276" w:lineRule="auto"/>
        <w:jc w:val="center"/>
        <w:rPr>
          <w:rFonts w:ascii="Trebuchet MS" w:eastAsia="Times New Roman" w:hAnsi="Trebuchet MS"/>
          <w:b/>
          <w:bCs/>
          <w:lang w:val="ro-RO"/>
        </w:rPr>
      </w:pPr>
    </w:p>
    <w:p w14:paraId="649DCB48" w14:textId="77777777" w:rsidR="00DE7A2B" w:rsidRPr="0098434E" w:rsidRDefault="00DE7A2B" w:rsidP="0098434E">
      <w:pPr>
        <w:spacing w:after="0" w:line="276" w:lineRule="auto"/>
        <w:jc w:val="center"/>
        <w:rPr>
          <w:rFonts w:ascii="Trebuchet MS" w:eastAsia="Times New Roman" w:hAnsi="Trebuchet MS"/>
          <w:b/>
          <w:bCs/>
          <w:lang w:val="ro-RO"/>
        </w:rPr>
      </w:pPr>
    </w:p>
    <w:p w14:paraId="73D0B7DE" w14:textId="0BB2493D" w:rsidR="00FA25FF" w:rsidRPr="0098434E" w:rsidRDefault="00FA25FF" w:rsidP="0098434E">
      <w:pPr>
        <w:spacing w:after="0" w:line="276" w:lineRule="auto"/>
        <w:jc w:val="center"/>
        <w:rPr>
          <w:rFonts w:ascii="Trebuchet MS" w:eastAsia="Times New Roman" w:hAnsi="Trebuchet MS"/>
          <w:b/>
          <w:bCs/>
          <w:u w:val="single"/>
          <w:lang w:val="ro-RO"/>
        </w:rPr>
      </w:pPr>
      <w:r w:rsidRPr="0098434E">
        <w:rPr>
          <w:rFonts w:ascii="Trebuchet MS" w:eastAsia="Times New Roman" w:hAnsi="Trebuchet MS"/>
          <w:b/>
          <w:bCs/>
          <w:u w:val="single"/>
          <w:lang w:val="ro-RO"/>
        </w:rPr>
        <w:t>AVIZĂM FAVORABIL</w:t>
      </w:r>
    </w:p>
    <w:p w14:paraId="51B07224" w14:textId="77777777" w:rsidR="00822B23" w:rsidRPr="0098434E" w:rsidRDefault="00822B23" w:rsidP="0098434E">
      <w:pPr>
        <w:spacing w:after="0" w:line="276" w:lineRule="auto"/>
        <w:jc w:val="center"/>
        <w:rPr>
          <w:rFonts w:ascii="Trebuchet MS" w:eastAsia="Times New Roman" w:hAnsi="Trebuchet MS"/>
          <w:b/>
          <w:bCs/>
          <w:u w:val="single"/>
          <w:lang w:val="ro-RO"/>
        </w:rPr>
      </w:pPr>
    </w:p>
    <w:p w14:paraId="79F84FBF" w14:textId="461855A9" w:rsidR="00FA25FF" w:rsidRPr="0098434E" w:rsidRDefault="00FA25FF" w:rsidP="0098434E">
      <w:pPr>
        <w:spacing w:after="0" w:line="276" w:lineRule="auto"/>
        <w:jc w:val="center"/>
        <w:rPr>
          <w:rFonts w:ascii="Trebuchet MS" w:eastAsia="Times New Roman" w:hAnsi="Trebuchet MS"/>
          <w:b/>
          <w:bCs/>
          <w:lang w:val="ro-RO"/>
        </w:rPr>
      </w:pPr>
    </w:p>
    <w:p w14:paraId="265D13BE" w14:textId="26226B33" w:rsidR="00FA25FF" w:rsidRPr="0098434E" w:rsidRDefault="00443878" w:rsidP="0098434E">
      <w:pPr>
        <w:spacing w:after="0" w:line="276" w:lineRule="auto"/>
        <w:jc w:val="center"/>
        <w:rPr>
          <w:rFonts w:ascii="Trebuchet MS" w:eastAsia="Times New Roman" w:hAnsi="Trebuchet MS"/>
          <w:b/>
          <w:bCs/>
          <w:lang w:val="ro-RO"/>
        </w:rPr>
      </w:pPr>
      <w:r w:rsidRPr="0098434E">
        <w:rPr>
          <w:rFonts w:ascii="Trebuchet MS" w:eastAsia="Times New Roman" w:hAnsi="Trebuchet MS"/>
          <w:b/>
          <w:bCs/>
          <w:lang w:val="ro-RO"/>
        </w:rPr>
        <w:t>MINISTRUL FINANȚELOR</w:t>
      </w:r>
    </w:p>
    <w:p w14:paraId="6AED71B3" w14:textId="322FD777" w:rsidR="00FA25FF" w:rsidRPr="0098434E" w:rsidRDefault="00FA25FF" w:rsidP="0098434E">
      <w:pPr>
        <w:spacing w:after="0" w:line="276" w:lineRule="auto"/>
        <w:jc w:val="center"/>
        <w:rPr>
          <w:rFonts w:ascii="Trebuchet MS" w:eastAsia="Times New Roman" w:hAnsi="Trebuchet MS"/>
          <w:b/>
          <w:bCs/>
          <w:lang w:val="ro-RO"/>
        </w:rPr>
      </w:pPr>
    </w:p>
    <w:p w14:paraId="1B3F567A" w14:textId="0A5DCFDF" w:rsidR="00822B23" w:rsidRPr="0098434E" w:rsidRDefault="00443878" w:rsidP="0098434E">
      <w:pPr>
        <w:spacing w:after="0" w:line="276" w:lineRule="auto"/>
        <w:jc w:val="center"/>
        <w:rPr>
          <w:rFonts w:ascii="Trebuchet MS" w:eastAsia="Times New Roman" w:hAnsi="Trebuchet MS"/>
          <w:b/>
          <w:bCs/>
          <w:lang w:val="ro-RO"/>
        </w:rPr>
      </w:pPr>
      <w:r w:rsidRPr="0098434E">
        <w:rPr>
          <w:rFonts w:ascii="Trebuchet MS" w:eastAsia="Times New Roman" w:hAnsi="Trebuchet MS"/>
          <w:b/>
          <w:bCs/>
          <w:lang w:val="ro-RO"/>
        </w:rPr>
        <w:t>ADRIAN CÂCIU</w:t>
      </w:r>
    </w:p>
    <w:p w14:paraId="6B8D53DE" w14:textId="27D74ABC" w:rsidR="00FA25FF" w:rsidRPr="0098434E" w:rsidRDefault="00FA25FF" w:rsidP="0098434E">
      <w:pPr>
        <w:spacing w:after="0" w:line="276" w:lineRule="auto"/>
        <w:jc w:val="center"/>
        <w:rPr>
          <w:rFonts w:ascii="Trebuchet MS" w:eastAsia="Times New Roman" w:hAnsi="Trebuchet MS"/>
          <w:b/>
          <w:bCs/>
          <w:lang w:val="ro-RO"/>
        </w:rPr>
      </w:pPr>
    </w:p>
    <w:p w14:paraId="095AD51C" w14:textId="72E2EE8E" w:rsidR="00FA25FF" w:rsidRPr="0098434E" w:rsidRDefault="00FA25FF" w:rsidP="0098434E">
      <w:pPr>
        <w:spacing w:after="0" w:line="276" w:lineRule="auto"/>
        <w:jc w:val="center"/>
        <w:rPr>
          <w:rFonts w:ascii="Trebuchet MS" w:eastAsia="Times New Roman" w:hAnsi="Trebuchet MS"/>
          <w:b/>
          <w:bCs/>
          <w:lang w:val="ro-RO"/>
        </w:rPr>
      </w:pPr>
    </w:p>
    <w:p w14:paraId="06E6B7CC" w14:textId="77777777" w:rsidR="00DE7A2B" w:rsidRPr="0098434E" w:rsidRDefault="00DE7A2B" w:rsidP="0098434E">
      <w:pPr>
        <w:spacing w:after="0" w:line="276" w:lineRule="auto"/>
        <w:jc w:val="center"/>
        <w:rPr>
          <w:rFonts w:ascii="Trebuchet MS" w:eastAsia="Times New Roman" w:hAnsi="Trebuchet MS"/>
          <w:b/>
          <w:bCs/>
          <w:lang w:val="ro-RO"/>
        </w:rPr>
      </w:pPr>
      <w:bookmarkStart w:id="1" w:name="_GoBack"/>
      <w:bookmarkEnd w:id="1"/>
    </w:p>
    <w:sectPr w:rsidR="00DE7A2B" w:rsidRPr="0098434E" w:rsidSect="002F1F21">
      <w:footerReference w:type="default" r:id="rId7"/>
      <w:pgSz w:w="11906" w:h="16838"/>
      <w:pgMar w:top="1134" w:right="1134" w:bottom="1134" w:left="1134" w:header="4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B5AA" w14:textId="77777777" w:rsidR="007A79F1" w:rsidRDefault="007A79F1" w:rsidP="008608BE">
      <w:pPr>
        <w:spacing w:after="0" w:line="240" w:lineRule="auto"/>
      </w:pPr>
      <w:r>
        <w:separator/>
      </w:r>
    </w:p>
  </w:endnote>
  <w:endnote w:type="continuationSeparator" w:id="0">
    <w:p w14:paraId="6B07EB58" w14:textId="77777777" w:rsidR="007A79F1" w:rsidRDefault="007A79F1"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A45A" w14:textId="47681B65" w:rsidR="002F1F21" w:rsidRDefault="002F1F21">
    <w:pPr>
      <w:pStyle w:val="Footer"/>
      <w:jc w:val="right"/>
    </w:pPr>
    <w:r>
      <w:fldChar w:fldCharType="begin"/>
    </w:r>
    <w:r>
      <w:instrText xml:space="preserve"> PAGE   \* MERGEFORMAT </w:instrText>
    </w:r>
    <w:r>
      <w:fldChar w:fldCharType="separate"/>
    </w:r>
    <w:r w:rsidR="00643C90">
      <w:rPr>
        <w:noProof/>
      </w:rPr>
      <w:t>6</w:t>
    </w:r>
    <w:r>
      <w:rPr>
        <w:noProof/>
      </w:rPr>
      <w:fldChar w:fldCharType="end"/>
    </w:r>
  </w:p>
  <w:p w14:paraId="57FFCC56" w14:textId="77777777" w:rsidR="0042142F" w:rsidRDefault="0042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8CF4" w14:textId="77777777" w:rsidR="007A79F1" w:rsidRDefault="007A79F1" w:rsidP="008608BE">
      <w:pPr>
        <w:spacing w:after="0" w:line="240" w:lineRule="auto"/>
      </w:pPr>
      <w:r>
        <w:separator/>
      </w:r>
    </w:p>
  </w:footnote>
  <w:footnote w:type="continuationSeparator" w:id="0">
    <w:p w14:paraId="3F08D8E3" w14:textId="77777777" w:rsidR="007A79F1" w:rsidRDefault="007A79F1" w:rsidP="00860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2F19"/>
    <w:multiLevelType w:val="hybridMultilevel"/>
    <w:tmpl w:val="9FE242AE"/>
    <w:lvl w:ilvl="0" w:tplc="99F25546">
      <w:start w:val="1"/>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i/>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0433"/>
    <w:multiLevelType w:val="hybridMultilevel"/>
    <w:tmpl w:val="04188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C7262"/>
    <w:multiLevelType w:val="hybridMultilevel"/>
    <w:tmpl w:val="7F24F3EC"/>
    <w:lvl w:ilvl="0" w:tplc="D3C2317E">
      <w:numFmt w:val="bullet"/>
      <w:lvlText w:val="-"/>
      <w:lvlJc w:val="left"/>
      <w:pPr>
        <w:tabs>
          <w:tab w:val="num" w:pos="720"/>
        </w:tabs>
        <w:ind w:left="720" w:hanging="360"/>
      </w:pPr>
      <w:rPr>
        <w:rFonts w:ascii="Times New Roman" w:eastAsia="Times New Roman" w:hAnsi="Times New Roman" w:cs="Times New Roman" w:hint="default"/>
      </w:rPr>
    </w:lvl>
    <w:lvl w:ilvl="1" w:tplc="B9E898A4">
      <w:start w:val="1"/>
      <w:numFmt w:val="bullet"/>
      <w:lvlText w:val=""/>
      <w:lvlJc w:val="left"/>
      <w:pPr>
        <w:tabs>
          <w:tab w:val="num" w:pos="144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C2166"/>
    <w:multiLevelType w:val="hybridMultilevel"/>
    <w:tmpl w:val="C19AA740"/>
    <w:lvl w:ilvl="0" w:tplc="0A385F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53927"/>
    <w:multiLevelType w:val="hybridMultilevel"/>
    <w:tmpl w:val="E5F6A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A5002"/>
    <w:multiLevelType w:val="hybridMultilevel"/>
    <w:tmpl w:val="5C000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891257"/>
    <w:multiLevelType w:val="hybridMultilevel"/>
    <w:tmpl w:val="9880E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F5788C"/>
    <w:multiLevelType w:val="hybridMultilevel"/>
    <w:tmpl w:val="D0FE487C"/>
    <w:lvl w:ilvl="0" w:tplc="4EB87856">
      <w:start w:val="1"/>
      <w:numFmt w:val="bullet"/>
      <w:lvlText w:val=""/>
      <w:lvlJc w:val="left"/>
      <w:pPr>
        <w:tabs>
          <w:tab w:val="num" w:pos="720"/>
        </w:tabs>
        <w:ind w:left="720" w:hanging="360"/>
      </w:pPr>
      <w:rPr>
        <w:rFonts w:ascii="Symbol" w:hAnsi="Symbol" w:hint="default"/>
        <w:sz w:val="20"/>
      </w:rPr>
    </w:lvl>
    <w:lvl w:ilvl="1" w:tplc="17D24090" w:tentative="1">
      <w:start w:val="1"/>
      <w:numFmt w:val="bullet"/>
      <w:lvlText w:val="o"/>
      <w:lvlJc w:val="left"/>
      <w:pPr>
        <w:tabs>
          <w:tab w:val="num" w:pos="1440"/>
        </w:tabs>
        <w:ind w:left="1440" w:hanging="360"/>
      </w:pPr>
      <w:rPr>
        <w:rFonts w:ascii="Courier New" w:hAnsi="Courier New" w:hint="default"/>
        <w:sz w:val="20"/>
      </w:rPr>
    </w:lvl>
    <w:lvl w:ilvl="2" w:tplc="26807F7A" w:tentative="1">
      <w:start w:val="1"/>
      <w:numFmt w:val="bullet"/>
      <w:lvlText w:val=""/>
      <w:lvlJc w:val="left"/>
      <w:pPr>
        <w:tabs>
          <w:tab w:val="num" w:pos="2160"/>
        </w:tabs>
        <w:ind w:left="2160" w:hanging="360"/>
      </w:pPr>
      <w:rPr>
        <w:rFonts w:ascii="Wingdings" w:hAnsi="Wingdings" w:hint="default"/>
        <w:sz w:val="20"/>
      </w:rPr>
    </w:lvl>
    <w:lvl w:ilvl="3" w:tplc="CC04671E" w:tentative="1">
      <w:start w:val="1"/>
      <w:numFmt w:val="bullet"/>
      <w:lvlText w:val=""/>
      <w:lvlJc w:val="left"/>
      <w:pPr>
        <w:tabs>
          <w:tab w:val="num" w:pos="2880"/>
        </w:tabs>
        <w:ind w:left="2880" w:hanging="360"/>
      </w:pPr>
      <w:rPr>
        <w:rFonts w:ascii="Wingdings" w:hAnsi="Wingdings" w:hint="default"/>
        <w:sz w:val="20"/>
      </w:rPr>
    </w:lvl>
    <w:lvl w:ilvl="4" w:tplc="72FCA900" w:tentative="1">
      <w:start w:val="1"/>
      <w:numFmt w:val="bullet"/>
      <w:lvlText w:val=""/>
      <w:lvlJc w:val="left"/>
      <w:pPr>
        <w:tabs>
          <w:tab w:val="num" w:pos="3600"/>
        </w:tabs>
        <w:ind w:left="3600" w:hanging="360"/>
      </w:pPr>
      <w:rPr>
        <w:rFonts w:ascii="Wingdings" w:hAnsi="Wingdings" w:hint="default"/>
        <w:sz w:val="20"/>
      </w:rPr>
    </w:lvl>
    <w:lvl w:ilvl="5" w:tplc="1A1AA80C" w:tentative="1">
      <w:start w:val="1"/>
      <w:numFmt w:val="bullet"/>
      <w:lvlText w:val=""/>
      <w:lvlJc w:val="left"/>
      <w:pPr>
        <w:tabs>
          <w:tab w:val="num" w:pos="4320"/>
        </w:tabs>
        <w:ind w:left="4320" w:hanging="360"/>
      </w:pPr>
      <w:rPr>
        <w:rFonts w:ascii="Wingdings" w:hAnsi="Wingdings" w:hint="default"/>
        <w:sz w:val="20"/>
      </w:rPr>
    </w:lvl>
    <w:lvl w:ilvl="6" w:tplc="5FC0D49E" w:tentative="1">
      <w:start w:val="1"/>
      <w:numFmt w:val="bullet"/>
      <w:lvlText w:val=""/>
      <w:lvlJc w:val="left"/>
      <w:pPr>
        <w:tabs>
          <w:tab w:val="num" w:pos="5040"/>
        </w:tabs>
        <w:ind w:left="5040" w:hanging="360"/>
      </w:pPr>
      <w:rPr>
        <w:rFonts w:ascii="Wingdings" w:hAnsi="Wingdings" w:hint="default"/>
        <w:sz w:val="20"/>
      </w:rPr>
    </w:lvl>
    <w:lvl w:ilvl="7" w:tplc="639821F2" w:tentative="1">
      <w:start w:val="1"/>
      <w:numFmt w:val="bullet"/>
      <w:lvlText w:val=""/>
      <w:lvlJc w:val="left"/>
      <w:pPr>
        <w:tabs>
          <w:tab w:val="num" w:pos="5760"/>
        </w:tabs>
        <w:ind w:left="5760" w:hanging="360"/>
      </w:pPr>
      <w:rPr>
        <w:rFonts w:ascii="Wingdings" w:hAnsi="Wingdings" w:hint="default"/>
        <w:sz w:val="20"/>
      </w:rPr>
    </w:lvl>
    <w:lvl w:ilvl="8" w:tplc="8A567D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333DD"/>
    <w:multiLevelType w:val="hybridMultilevel"/>
    <w:tmpl w:val="19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40B0D"/>
    <w:multiLevelType w:val="hybridMultilevel"/>
    <w:tmpl w:val="2312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86843"/>
    <w:multiLevelType w:val="hybridMultilevel"/>
    <w:tmpl w:val="AD32FE32"/>
    <w:lvl w:ilvl="0" w:tplc="2ADCA104">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4" w15:restartNumberingAfterBreak="0">
    <w:nsid w:val="42C24DBE"/>
    <w:multiLevelType w:val="hybridMultilevel"/>
    <w:tmpl w:val="8A7A11EC"/>
    <w:lvl w:ilvl="0" w:tplc="DDA23594">
      <w:start w:val="4"/>
      <w:numFmt w:val="bullet"/>
      <w:lvlText w:val="-"/>
      <w:lvlJc w:val="left"/>
      <w:pPr>
        <w:tabs>
          <w:tab w:val="num" w:pos="744"/>
        </w:tabs>
        <w:ind w:left="744" w:hanging="360"/>
      </w:pPr>
      <w:rPr>
        <w:rFonts w:ascii="Times New Roman" w:eastAsia="Times New Roman" w:hAnsi="Times New Roman" w:cs="Times New Roman" w:hint="default"/>
        <w:color w:val="auto"/>
      </w:rPr>
    </w:lvl>
    <w:lvl w:ilvl="1" w:tplc="0418000F">
      <w:start w:val="1"/>
      <w:numFmt w:val="decimal"/>
      <w:lvlText w:val="%2."/>
      <w:lvlJc w:val="left"/>
      <w:pPr>
        <w:tabs>
          <w:tab w:val="num" w:pos="1464"/>
        </w:tabs>
        <w:ind w:left="1464" w:hanging="360"/>
      </w:pPr>
      <w:rPr>
        <w:rFonts w:hint="default"/>
      </w:rPr>
    </w:lvl>
    <w:lvl w:ilvl="2" w:tplc="04180005" w:tentative="1">
      <w:start w:val="1"/>
      <w:numFmt w:val="bullet"/>
      <w:lvlText w:val=""/>
      <w:lvlJc w:val="left"/>
      <w:pPr>
        <w:tabs>
          <w:tab w:val="num" w:pos="2184"/>
        </w:tabs>
        <w:ind w:left="2184" w:hanging="360"/>
      </w:pPr>
      <w:rPr>
        <w:rFonts w:ascii="Wingdings" w:hAnsi="Wingdings" w:hint="default"/>
      </w:rPr>
    </w:lvl>
    <w:lvl w:ilvl="3" w:tplc="04180001" w:tentative="1">
      <w:start w:val="1"/>
      <w:numFmt w:val="bullet"/>
      <w:lvlText w:val=""/>
      <w:lvlJc w:val="left"/>
      <w:pPr>
        <w:tabs>
          <w:tab w:val="num" w:pos="2904"/>
        </w:tabs>
        <w:ind w:left="2904" w:hanging="360"/>
      </w:pPr>
      <w:rPr>
        <w:rFonts w:ascii="Symbol" w:hAnsi="Symbol" w:hint="default"/>
      </w:rPr>
    </w:lvl>
    <w:lvl w:ilvl="4" w:tplc="04180003" w:tentative="1">
      <w:start w:val="1"/>
      <w:numFmt w:val="bullet"/>
      <w:lvlText w:val="o"/>
      <w:lvlJc w:val="left"/>
      <w:pPr>
        <w:tabs>
          <w:tab w:val="num" w:pos="3624"/>
        </w:tabs>
        <w:ind w:left="3624" w:hanging="360"/>
      </w:pPr>
      <w:rPr>
        <w:rFonts w:ascii="Courier New" w:hAnsi="Courier New" w:cs="Courier New" w:hint="default"/>
      </w:rPr>
    </w:lvl>
    <w:lvl w:ilvl="5" w:tplc="04180005" w:tentative="1">
      <w:start w:val="1"/>
      <w:numFmt w:val="bullet"/>
      <w:lvlText w:val=""/>
      <w:lvlJc w:val="left"/>
      <w:pPr>
        <w:tabs>
          <w:tab w:val="num" w:pos="4344"/>
        </w:tabs>
        <w:ind w:left="4344" w:hanging="360"/>
      </w:pPr>
      <w:rPr>
        <w:rFonts w:ascii="Wingdings" w:hAnsi="Wingdings" w:hint="default"/>
      </w:rPr>
    </w:lvl>
    <w:lvl w:ilvl="6" w:tplc="04180001" w:tentative="1">
      <w:start w:val="1"/>
      <w:numFmt w:val="bullet"/>
      <w:lvlText w:val=""/>
      <w:lvlJc w:val="left"/>
      <w:pPr>
        <w:tabs>
          <w:tab w:val="num" w:pos="5064"/>
        </w:tabs>
        <w:ind w:left="5064" w:hanging="360"/>
      </w:pPr>
      <w:rPr>
        <w:rFonts w:ascii="Symbol" w:hAnsi="Symbol" w:hint="default"/>
      </w:rPr>
    </w:lvl>
    <w:lvl w:ilvl="7" w:tplc="04180003" w:tentative="1">
      <w:start w:val="1"/>
      <w:numFmt w:val="bullet"/>
      <w:lvlText w:val="o"/>
      <w:lvlJc w:val="left"/>
      <w:pPr>
        <w:tabs>
          <w:tab w:val="num" w:pos="5784"/>
        </w:tabs>
        <w:ind w:left="5784" w:hanging="360"/>
      </w:pPr>
      <w:rPr>
        <w:rFonts w:ascii="Courier New" w:hAnsi="Courier New" w:cs="Courier New" w:hint="default"/>
      </w:rPr>
    </w:lvl>
    <w:lvl w:ilvl="8" w:tplc="04180005" w:tentative="1">
      <w:start w:val="1"/>
      <w:numFmt w:val="bullet"/>
      <w:lvlText w:val=""/>
      <w:lvlJc w:val="left"/>
      <w:pPr>
        <w:tabs>
          <w:tab w:val="num" w:pos="6504"/>
        </w:tabs>
        <w:ind w:left="6504" w:hanging="360"/>
      </w:pPr>
      <w:rPr>
        <w:rFonts w:ascii="Wingdings" w:hAnsi="Wingdings" w:hint="default"/>
      </w:rPr>
    </w:lvl>
  </w:abstractNum>
  <w:abstractNum w:abstractNumId="15"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16" w15:restartNumberingAfterBreak="0">
    <w:nsid w:val="4824596E"/>
    <w:multiLevelType w:val="hybridMultilevel"/>
    <w:tmpl w:val="343A0C9C"/>
    <w:lvl w:ilvl="0" w:tplc="50D2E984">
      <w:numFmt w:val="bullet"/>
      <w:lvlText w:val="-"/>
      <w:lvlJc w:val="left"/>
      <w:pPr>
        <w:ind w:left="2268" w:hanging="360"/>
      </w:pPr>
      <w:rPr>
        <w:rFonts w:ascii="Times New Roman" w:eastAsia="Times New Roman" w:hAnsi="Times New Roman" w:cs="Times New Roman"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7" w15:restartNumberingAfterBreak="0">
    <w:nsid w:val="4AB72211"/>
    <w:multiLevelType w:val="hybridMultilevel"/>
    <w:tmpl w:val="29F87692"/>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15:restartNumberingAfterBreak="0">
    <w:nsid w:val="4EBC3E4A"/>
    <w:multiLevelType w:val="hybridMultilevel"/>
    <w:tmpl w:val="7246580C"/>
    <w:lvl w:ilvl="0" w:tplc="3D3EEF18">
      <w:start w:val="1"/>
      <w:numFmt w:val="decimal"/>
      <w:lvlText w:val="%1)"/>
      <w:lvlJc w:val="left"/>
      <w:pPr>
        <w:ind w:left="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47C26"/>
    <w:multiLevelType w:val="hybridMultilevel"/>
    <w:tmpl w:val="1B1C53BA"/>
    <w:lvl w:ilvl="0" w:tplc="21F4F2AC">
      <w:start w:val="1"/>
      <w:numFmt w:val="bullet"/>
      <w:lvlText w:val="-"/>
      <w:lvlJc w:val="left"/>
      <w:pPr>
        <w:tabs>
          <w:tab w:val="num" w:pos="216"/>
        </w:tabs>
        <w:ind w:left="216"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B4785"/>
    <w:multiLevelType w:val="hybridMultilevel"/>
    <w:tmpl w:val="79C28032"/>
    <w:lvl w:ilvl="0" w:tplc="B9A2FAEA">
      <w:start w:val="3"/>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15:restartNumberingAfterBreak="0">
    <w:nsid w:val="59D05C26"/>
    <w:multiLevelType w:val="hybridMultilevel"/>
    <w:tmpl w:val="F50A0992"/>
    <w:lvl w:ilvl="0" w:tplc="FBB29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04BD3"/>
    <w:multiLevelType w:val="hybridMultilevel"/>
    <w:tmpl w:val="A2A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90D17"/>
    <w:multiLevelType w:val="hybridMultilevel"/>
    <w:tmpl w:val="930014D6"/>
    <w:lvl w:ilvl="0" w:tplc="4F2CBD4C">
      <w:start w:val="3"/>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71C976D9"/>
    <w:multiLevelType w:val="hybridMultilevel"/>
    <w:tmpl w:val="51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F653B"/>
    <w:multiLevelType w:val="hybridMultilevel"/>
    <w:tmpl w:val="C39CC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7F39BF"/>
    <w:multiLevelType w:val="hybridMultilevel"/>
    <w:tmpl w:val="301AC3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0B5078"/>
    <w:multiLevelType w:val="hybridMultilevel"/>
    <w:tmpl w:val="E58A71FE"/>
    <w:lvl w:ilvl="0" w:tplc="39C8063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1"/>
  </w:num>
  <w:num w:numId="2">
    <w:abstractNumId w:val="15"/>
  </w:num>
  <w:num w:numId="3">
    <w:abstractNumId w:val="19"/>
  </w:num>
  <w:num w:numId="4">
    <w:abstractNumId w:val="23"/>
  </w:num>
  <w:num w:numId="5">
    <w:abstractNumId w:val="20"/>
  </w:num>
  <w:num w:numId="6">
    <w:abstractNumId w:val="16"/>
  </w:num>
  <w:num w:numId="7">
    <w:abstractNumId w:val="22"/>
  </w:num>
  <w:num w:numId="8">
    <w:abstractNumId w:val="9"/>
  </w:num>
  <w:num w:numId="9">
    <w:abstractNumId w:val="25"/>
  </w:num>
  <w:num w:numId="10">
    <w:abstractNumId w:val="5"/>
  </w:num>
  <w:num w:numId="11">
    <w:abstractNumId w:val="7"/>
  </w:num>
  <w:num w:numId="12">
    <w:abstractNumId w:val="12"/>
  </w:num>
  <w:num w:numId="13">
    <w:abstractNumId w:val="1"/>
  </w:num>
  <w:num w:numId="14">
    <w:abstractNumId w:val="27"/>
  </w:num>
  <w:num w:numId="15">
    <w:abstractNumId w:val="17"/>
  </w:num>
  <w:num w:numId="16">
    <w:abstractNumId w:val="10"/>
  </w:num>
  <w:num w:numId="17">
    <w:abstractNumId w:val="26"/>
  </w:num>
  <w:num w:numId="18">
    <w:abstractNumId w:val="2"/>
  </w:num>
  <w:num w:numId="19">
    <w:abstractNumId w:val="8"/>
  </w:num>
  <w:num w:numId="20">
    <w:abstractNumId w:val="13"/>
  </w:num>
  <w:num w:numId="21">
    <w:abstractNumId w:val="24"/>
  </w:num>
  <w:num w:numId="22">
    <w:abstractNumId w:val="0"/>
  </w:num>
  <w:num w:numId="23">
    <w:abstractNumId w:val="18"/>
  </w:num>
  <w:num w:numId="24">
    <w:abstractNumId w:val="21"/>
  </w:num>
  <w:num w:numId="25">
    <w:abstractNumId w:val="4"/>
  </w:num>
  <w:num w:numId="26">
    <w:abstractNumId w:val="6"/>
  </w:num>
  <w:num w:numId="27">
    <w:abstractNumId w:val="28"/>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BE"/>
    <w:rsid w:val="00005076"/>
    <w:rsid w:val="000168B7"/>
    <w:rsid w:val="00026B6C"/>
    <w:rsid w:val="00037FA4"/>
    <w:rsid w:val="00040D3A"/>
    <w:rsid w:val="00046EF0"/>
    <w:rsid w:val="00060FCA"/>
    <w:rsid w:val="00091801"/>
    <w:rsid w:val="000A0AEE"/>
    <w:rsid w:val="000A35AF"/>
    <w:rsid w:val="000A7C19"/>
    <w:rsid w:val="000A7E22"/>
    <w:rsid w:val="000B08DB"/>
    <w:rsid w:val="000B188D"/>
    <w:rsid w:val="000B29D0"/>
    <w:rsid w:val="000C1D33"/>
    <w:rsid w:val="000C48EB"/>
    <w:rsid w:val="000C499F"/>
    <w:rsid w:val="000D5457"/>
    <w:rsid w:val="00105A11"/>
    <w:rsid w:val="00121F11"/>
    <w:rsid w:val="0013058C"/>
    <w:rsid w:val="0014356E"/>
    <w:rsid w:val="0015320C"/>
    <w:rsid w:val="00160D35"/>
    <w:rsid w:val="001638AC"/>
    <w:rsid w:val="00173D2D"/>
    <w:rsid w:val="00174FD8"/>
    <w:rsid w:val="001866C7"/>
    <w:rsid w:val="001B7F71"/>
    <w:rsid w:val="001C02F2"/>
    <w:rsid w:val="001C0593"/>
    <w:rsid w:val="001C2B44"/>
    <w:rsid w:val="001C4E85"/>
    <w:rsid w:val="001C7964"/>
    <w:rsid w:val="001D03A0"/>
    <w:rsid w:val="001E6FE6"/>
    <w:rsid w:val="001F4CC8"/>
    <w:rsid w:val="00200C84"/>
    <w:rsid w:val="00202100"/>
    <w:rsid w:val="00204F2F"/>
    <w:rsid w:val="002127AE"/>
    <w:rsid w:val="00242724"/>
    <w:rsid w:val="00262E9E"/>
    <w:rsid w:val="00276039"/>
    <w:rsid w:val="00291E1B"/>
    <w:rsid w:val="002935FF"/>
    <w:rsid w:val="00296ABE"/>
    <w:rsid w:val="002C5A2C"/>
    <w:rsid w:val="002D7EE5"/>
    <w:rsid w:val="002E1202"/>
    <w:rsid w:val="002E1DC4"/>
    <w:rsid w:val="002E1FFC"/>
    <w:rsid w:val="002F1F21"/>
    <w:rsid w:val="002F4A00"/>
    <w:rsid w:val="00321F29"/>
    <w:rsid w:val="00353FCB"/>
    <w:rsid w:val="00360566"/>
    <w:rsid w:val="00393BE4"/>
    <w:rsid w:val="00397BD4"/>
    <w:rsid w:val="003A1AC2"/>
    <w:rsid w:val="003A7E04"/>
    <w:rsid w:val="003B7233"/>
    <w:rsid w:val="003E5ABD"/>
    <w:rsid w:val="00400C54"/>
    <w:rsid w:val="004148FF"/>
    <w:rsid w:val="0042142F"/>
    <w:rsid w:val="004249E1"/>
    <w:rsid w:val="004401FF"/>
    <w:rsid w:val="00442BFC"/>
    <w:rsid w:val="00443878"/>
    <w:rsid w:val="00443892"/>
    <w:rsid w:val="00470BC1"/>
    <w:rsid w:val="004807B1"/>
    <w:rsid w:val="004938B2"/>
    <w:rsid w:val="004A30E7"/>
    <w:rsid w:val="004A6D15"/>
    <w:rsid w:val="004B3CE4"/>
    <w:rsid w:val="004D2D6C"/>
    <w:rsid w:val="004D2ED5"/>
    <w:rsid w:val="004D6689"/>
    <w:rsid w:val="004F1D65"/>
    <w:rsid w:val="004F267E"/>
    <w:rsid w:val="00520573"/>
    <w:rsid w:val="005270EC"/>
    <w:rsid w:val="00537764"/>
    <w:rsid w:val="00537AA8"/>
    <w:rsid w:val="00552782"/>
    <w:rsid w:val="005638C8"/>
    <w:rsid w:val="005658E8"/>
    <w:rsid w:val="00585E37"/>
    <w:rsid w:val="005876FF"/>
    <w:rsid w:val="005A3511"/>
    <w:rsid w:val="005A73E2"/>
    <w:rsid w:val="005B1AF1"/>
    <w:rsid w:val="005B429C"/>
    <w:rsid w:val="005B4B36"/>
    <w:rsid w:val="005C09F8"/>
    <w:rsid w:val="005C46A6"/>
    <w:rsid w:val="005D13EE"/>
    <w:rsid w:val="005E3697"/>
    <w:rsid w:val="005E6F59"/>
    <w:rsid w:val="005E78D2"/>
    <w:rsid w:val="005E7A75"/>
    <w:rsid w:val="005F2BBD"/>
    <w:rsid w:val="005F2F23"/>
    <w:rsid w:val="006056BA"/>
    <w:rsid w:val="00611D52"/>
    <w:rsid w:val="00614508"/>
    <w:rsid w:val="00623172"/>
    <w:rsid w:val="0063034B"/>
    <w:rsid w:val="00636750"/>
    <w:rsid w:val="00643C90"/>
    <w:rsid w:val="00646940"/>
    <w:rsid w:val="0064732E"/>
    <w:rsid w:val="00664832"/>
    <w:rsid w:val="006663D8"/>
    <w:rsid w:val="00666F8A"/>
    <w:rsid w:val="00681C20"/>
    <w:rsid w:val="00684A1C"/>
    <w:rsid w:val="006B527E"/>
    <w:rsid w:val="006C3636"/>
    <w:rsid w:val="006F6052"/>
    <w:rsid w:val="006F694E"/>
    <w:rsid w:val="00705825"/>
    <w:rsid w:val="007164F9"/>
    <w:rsid w:val="00717173"/>
    <w:rsid w:val="00726BA0"/>
    <w:rsid w:val="0073442A"/>
    <w:rsid w:val="007370AB"/>
    <w:rsid w:val="00741E74"/>
    <w:rsid w:val="00751444"/>
    <w:rsid w:val="00755B49"/>
    <w:rsid w:val="00773EDA"/>
    <w:rsid w:val="007745FD"/>
    <w:rsid w:val="0078461E"/>
    <w:rsid w:val="007933BE"/>
    <w:rsid w:val="007A79F1"/>
    <w:rsid w:val="007D131A"/>
    <w:rsid w:val="007D5338"/>
    <w:rsid w:val="007E2465"/>
    <w:rsid w:val="007E3875"/>
    <w:rsid w:val="007E4DF2"/>
    <w:rsid w:val="00801BFB"/>
    <w:rsid w:val="00822B23"/>
    <w:rsid w:val="00842817"/>
    <w:rsid w:val="008558FC"/>
    <w:rsid w:val="00855E40"/>
    <w:rsid w:val="008608BE"/>
    <w:rsid w:val="00880C21"/>
    <w:rsid w:val="0089164B"/>
    <w:rsid w:val="00894EB6"/>
    <w:rsid w:val="008A1090"/>
    <w:rsid w:val="008C4919"/>
    <w:rsid w:val="008D003A"/>
    <w:rsid w:val="008F1046"/>
    <w:rsid w:val="008F1517"/>
    <w:rsid w:val="008F368A"/>
    <w:rsid w:val="008F5DB0"/>
    <w:rsid w:val="00910795"/>
    <w:rsid w:val="00914C73"/>
    <w:rsid w:val="00924C4F"/>
    <w:rsid w:val="00965062"/>
    <w:rsid w:val="00965FA1"/>
    <w:rsid w:val="009703FB"/>
    <w:rsid w:val="00975E24"/>
    <w:rsid w:val="00977191"/>
    <w:rsid w:val="0098421E"/>
    <w:rsid w:val="0098434E"/>
    <w:rsid w:val="00985196"/>
    <w:rsid w:val="009A3A0F"/>
    <w:rsid w:val="009A3C25"/>
    <w:rsid w:val="009B21F0"/>
    <w:rsid w:val="009C0DA0"/>
    <w:rsid w:val="009C390F"/>
    <w:rsid w:val="009C65EA"/>
    <w:rsid w:val="009D24AF"/>
    <w:rsid w:val="009F218B"/>
    <w:rsid w:val="009F3840"/>
    <w:rsid w:val="009F5E1E"/>
    <w:rsid w:val="00A24026"/>
    <w:rsid w:val="00A251B6"/>
    <w:rsid w:val="00A359A7"/>
    <w:rsid w:val="00A400F6"/>
    <w:rsid w:val="00A4518C"/>
    <w:rsid w:val="00A52AE6"/>
    <w:rsid w:val="00A52B39"/>
    <w:rsid w:val="00A60B18"/>
    <w:rsid w:val="00A6441B"/>
    <w:rsid w:val="00A71FAE"/>
    <w:rsid w:val="00A85044"/>
    <w:rsid w:val="00AA113B"/>
    <w:rsid w:val="00AB2F89"/>
    <w:rsid w:val="00AB5EDC"/>
    <w:rsid w:val="00AD1B45"/>
    <w:rsid w:val="00AD2BDC"/>
    <w:rsid w:val="00AF0CD2"/>
    <w:rsid w:val="00B17EF4"/>
    <w:rsid w:val="00B23646"/>
    <w:rsid w:val="00B27FD4"/>
    <w:rsid w:val="00B36FBE"/>
    <w:rsid w:val="00B466B6"/>
    <w:rsid w:val="00B72ADF"/>
    <w:rsid w:val="00B74ED1"/>
    <w:rsid w:val="00BA1A06"/>
    <w:rsid w:val="00BB37E0"/>
    <w:rsid w:val="00BD0FB8"/>
    <w:rsid w:val="00BD13A6"/>
    <w:rsid w:val="00BD1C79"/>
    <w:rsid w:val="00BD45EC"/>
    <w:rsid w:val="00BD6282"/>
    <w:rsid w:val="00BE1ECA"/>
    <w:rsid w:val="00BF776F"/>
    <w:rsid w:val="00C005EB"/>
    <w:rsid w:val="00C261D4"/>
    <w:rsid w:val="00C63E94"/>
    <w:rsid w:val="00C73CDD"/>
    <w:rsid w:val="00C761F5"/>
    <w:rsid w:val="00C84299"/>
    <w:rsid w:val="00C84487"/>
    <w:rsid w:val="00C90C41"/>
    <w:rsid w:val="00CA1BC6"/>
    <w:rsid w:val="00CB77FA"/>
    <w:rsid w:val="00CC1AFF"/>
    <w:rsid w:val="00CD7945"/>
    <w:rsid w:val="00CE7111"/>
    <w:rsid w:val="00CF5061"/>
    <w:rsid w:val="00CF5B1F"/>
    <w:rsid w:val="00D2123F"/>
    <w:rsid w:val="00D3503A"/>
    <w:rsid w:val="00D40630"/>
    <w:rsid w:val="00D45139"/>
    <w:rsid w:val="00D564DA"/>
    <w:rsid w:val="00D7253B"/>
    <w:rsid w:val="00D77633"/>
    <w:rsid w:val="00D9106A"/>
    <w:rsid w:val="00D941E6"/>
    <w:rsid w:val="00D961CC"/>
    <w:rsid w:val="00DA33B1"/>
    <w:rsid w:val="00DC7CED"/>
    <w:rsid w:val="00DD6228"/>
    <w:rsid w:val="00DE7A2B"/>
    <w:rsid w:val="00DF3D17"/>
    <w:rsid w:val="00E00A7D"/>
    <w:rsid w:val="00E01616"/>
    <w:rsid w:val="00E0584F"/>
    <w:rsid w:val="00E2392B"/>
    <w:rsid w:val="00E241F1"/>
    <w:rsid w:val="00E318A6"/>
    <w:rsid w:val="00E350CC"/>
    <w:rsid w:val="00E35515"/>
    <w:rsid w:val="00E379AD"/>
    <w:rsid w:val="00E427C1"/>
    <w:rsid w:val="00E44626"/>
    <w:rsid w:val="00E5093E"/>
    <w:rsid w:val="00E56B12"/>
    <w:rsid w:val="00E619D7"/>
    <w:rsid w:val="00E67A64"/>
    <w:rsid w:val="00E72473"/>
    <w:rsid w:val="00E8575B"/>
    <w:rsid w:val="00E9593A"/>
    <w:rsid w:val="00EB2F1C"/>
    <w:rsid w:val="00EB3777"/>
    <w:rsid w:val="00EC0643"/>
    <w:rsid w:val="00EC28E3"/>
    <w:rsid w:val="00ED77A2"/>
    <w:rsid w:val="00F01190"/>
    <w:rsid w:val="00F02346"/>
    <w:rsid w:val="00F24590"/>
    <w:rsid w:val="00F269A2"/>
    <w:rsid w:val="00F35A2A"/>
    <w:rsid w:val="00F52ACE"/>
    <w:rsid w:val="00F5541F"/>
    <w:rsid w:val="00F66A76"/>
    <w:rsid w:val="00F756E8"/>
    <w:rsid w:val="00F9324A"/>
    <w:rsid w:val="00F93EF5"/>
    <w:rsid w:val="00FA0B57"/>
    <w:rsid w:val="00FA25FF"/>
    <w:rsid w:val="00FA547E"/>
    <w:rsid w:val="00FB445F"/>
    <w:rsid w:val="00FD08B8"/>
    <w:rsid w:val="00FD1D06"/>
    <w:rsid w:val="00FD49CF"/>
    <w:rsid w:val="00FE04F7"/>
    <w:rsid w:val="00FE6938"/>
    <w:rsid w:val="00FF520E"/>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CDDEA"/>
  <w15:docId w15:val="{1E175538-EF50-4466-AACC-40BEAD72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2"/>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iPriority w:val="99"/>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cs="Times New Roman"/>
      <w:b/>
      <w:i/>
      <w:noProof/>
      <w:sz w:val="28"/>
      <w:szCs w:val="28"/>
      <w:lang w:val="es-E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eastAsia="en-US"/>
    </w:rPr>
  </w:style>
  <w:style w:type="paragraph" w:styleId="ListParagraph">
    <w:name w:val="List Paragraph"/>
    <w:basedOn w:val="Normal"/>
    <w:uiPriority w:val="34"/>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lang w:val="en-US" w:eastAsia="en-US"/>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character" w:customStyle="1" w:styleId="Corptext1">
    <w:name w:val="Corp text1"/>
    <w:basedOn w:val="DefaultParagraphFont"/>
    <w:rsid w:val="00855E40"/>
    <w:rPr>
      <w:rFonts w:ascii="Times New Roman" w:eastAsia="Times New Roman" w:hAnsi="Times New Roman" w:cs="Times New Roman"/>
      <w:color w:val="000000"/>
      <w:spacing w:val="0"/>
      <w:w w:val="100"/>
      <w:position w:val="0"/>
      <w:sz w:val="24"/>
      <w:szCs w:val="24"/>
      <w:shd w:val="clear" w:color="auto" w:fill="FFFFFF"/>
      <w:lang w:val="ro-RO"/>
    </w:rPr>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CharCharCaracterCaracterCharCharCaracterCaracterCharChar">
    <w:name w:val="Char Char Caracter Caracter Char Char Caracter Caracter Char Char"/>
    <w:basedOn w:val="Normal"/>
    <w:rsid w:val="00D77633"/>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7">
    <w:name w:val="Style7"/>
    <w:basedOn w:val="Normal"/>
    <w:rsid w:val="00D77633"/>
    <w:pPr>
      <w:widowControl w:val="0"/>
      <w:autoSpaceDE w:val="0"/>
      <w:autoSpaceDN w:val="0"/>
      <w:adjustRightInd w:val="0"/>
      <w:spacing w:after="0" w:line="240" w:lineRule="auto"/>
    </w:pPr>
    <w:rPr>
      <w:rFonts w:ascii="Bookman Old Style" w:eastAsia="Times New Roman" w:hAnsi="Bookman Old Style"/>
      <w:sz w:val="24"/>
      <w:szCs w:val="24"/>
      <w:lang w:val="ro-RO" w:eastAsia="ro-RO"/>
    </w:rPr>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character" w:customStyle="1" w:styleId="FontStyle22">
    <w:name w:val="Font Style22"/>
    <w:rsid w:val="00D77633"/>
    <w:rPr>
      <w:rFonts w:ascii="Times New Roman" w:hAnsi="Times New Roman" w:cs="Times New Roman"/>
      <w:color w:val="000000"/>
      <w:sz w:val="20"/>
      <w:szCs w:val="20"/>
    </w:rPr>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eastAsia="en-US"/>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character" w:customStyle="1" w:styleId="sartttl">
    <w:name w:val="s_art_ttl"/>
    <w:basedOn w:val="DefaultParagraphFont"/>
    <w:rsid w:val="00BD0FB8"/>
  </w:style>
  <w:style w:type="character" w:customStyle="1" w:styleId="spar">
    <w:name w:val="s_par"/>
    <w:basedOn w:val="DefaultParagraphFont"/>
    <w:rsid w:val="00BD0FB8"/>
  </w:style>
  <w:style w:type="paragraph" w:customStyle="1" w:styleId="Style9">
    <w:name w:val="Style9"/>
    <w:basedOn w:val="Normal"/>
    <w:rsid w:val="00C005EB"/>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617">
      <w:bodyDiv w:val="1"/>
      <w:marLeft w:val="0"/>
      <w:marRight w:val="0"/>
      <w:marTop w:val="0"/>
      <w:marBottom w:val="0"/>
      <w:divBdr>
        <w:top w:val="none" w:sz="0" w:space="0" w:color="auto"/>
        <w:left w:val="none" w:sz="0" w:space="0" w:color="auto"/>
        <w:bottom w:val="none" w:sz="0" w:space="0" w:color="auto"/>
        <w:right w:val="none" w:sz="0" w:space="0" w:color="auto"/>
      </w:divBdr>
    </w:div>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1747149357">
      <w:bodyDiv w:val="1"/>
      <w:marLeft w:val="0"/>
      <w:marRight w:val="0"/>
      <w:marTop w:val="0"/>
      <w:marBottom w:val="0"/>
      <w:divBdr>
        <w:top w:val="none" w:sz="0" w:space="0" w:color="auto"/>
        <w:left w:val="none" w:sz="0" w:space="0" w:color="auto"/>
        <w:bottom w:val="none" w:sz="0" w:space="0" w:color="auto"/>
        <w:right w:val="none" w:sz="0" w:space="0" w:color="auto"/>
      </w:divBdr>
      <w:divsChild>
        <w:div w:id="650868707">
          <w:marLeft w:val="0"/>
          <w:marRight w:val="0"/>
          <w:marTop w:val="0"/>
          <w:marBottom w:val="0"/>
          <w:divBdr>
            <w:top w:val="none" w:sz="0" w:space="0" w:color="auto"/>
            <w:left w:val="none" w:sz="0" w:space="0" w:color="auto"/>
            <w:bottom w:val="none" w:sz="0" w:space="0" w:color="auto"/>
            <w:right w:val="none" w:sz="0" w:space="0" w:color="auto"/>
          </w:divBdr>
        </w:div>
        <w:div w:id="160388704">
          <w:marLeft w:val="0"/>
          <w:marRight w:val="0"/>
          <w:marTop w:val="0"/>
          <w:marBottom w:val="0"/>
          <w:divBdr>
            <w:top w:val="none" w:sz="0" w:space="0" w:color="auto"/>
            <w:left w:val="none" w:sz="0" w:space="0" w:color="auto"/>
            <w:bottom w:val="none" w:sz="0" w:space="0" w:color="auto"/>
            <w:right w:val="none" w:sz="0" w:space="0" w:color="auto"/>
          </w:divBdr>
        </w:div>
        <w:div w:id="1132139457">
          <w:marLeft w:val="0"/>
          <w:marRight w:val="0"/>
          <w:marTop w:val="0"/>
          <w:marBottom w:val="0"/>
          <w:divBdr>
            <w:top w:val="none" w:sz="0" w:space="0" w:color="auto"/>
            <w:left w:val="none" w:sz="0" w:space="0" w:color="auto"/>
            <w:bottom w:val="none" w:sz="0" w:space="0" w:color="auto"/>
            <w:right w:val="none" w:sz="0" w:space="0" w:color="auto"/>
          </w:divBdr>
        </w:div>
        <w:div w:id="377626509">
          <w:marLeft w:val="0"/>
          <w:marRight w:val="0"/>
          <w:marTop w:val="0"/>
          <w:marBottom w:val="0"/>
          <w:divBdr>
            <w:top w:val="none" w:sz="0" w:space="0" w:color="auto"/>
            <w:left w:val="none" w:sz="0" w:space="0" w:color="auto"/>
            <w:bottom w:val="none" w:sz="0" w:space="0" w:color="auto"/>
            <w:right w:val="none" w:sz="0" w:space="0" w:color="auto"/>
          </w:divBdr>
        </w:div>
        <w:div w:id="1797064998">
          <w:marLeft w:val="0"/>
          <w:marRight w:val="0"/>
          <w:marTop w:val="0"/>
          <w:marBottom w:val="0"/>
          <w:divBdr>
            <w:top w:val="none" w:sz="0" w:space="0" w:color="auto"/>
            <w:left w:val="none" w:sz="0" w:space="0" w:color="auto"/>
            <w:bottom w:val="none" w:sz="0" w:space="0" w:color="auto"/>
            <w:right w:val="none" w:sz="0" w:space="0" w:color="auto"/>
          </w:divBdr>
        </w:div>
        <w:div w:id="1977174267">
          <w:marLeft w:val="0"/>
          <w:marRight w:val="0"/>
          <w:marTop w:val="0"/>
          <w:marBottom w:val="0"/>
          <w:divBdr>
            <w:top w:val="none" w:sz="0" w:space="0" w:color="auto"/>
            <w:left w:val="none" w:sz="0" w:space="0" w:color="auto"/>
            <w:bottom w:val="none" w:sz="0" w:space="0" w:color="auto"/>
            <w:right w:val="none" w:sz="0" w:space="0" w:color="auto"/>
          </w:divBdr>
        </w:div>
      </w:divsChild>
    </w:div>
    <w:div w:id="2035500463">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12064</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Ionescu</dc:creator>
  <cp:lastModifiedBy>Ana Maria Barladeanu</cp:lastModifiedBy>
  <cp:revision>2</cp:revision>
  <cp:lastPrinted>2022-10-28T09:32:00Z</cp:lastPrinted>
  <dcterms:created xsi:type="dcterms:W3CDTF">2022-10-28T09:33:00Z</dcterms:created>
  <dcterms:modified xsi:type="dcterms:W3CDTF">2022-10-28T09:33:00Z</dcterms:modified>
</cp:coreProperties>
</file>