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t>Tabel proiect OUG privind unele măsuri fiscal-bugetare, prorogarea unor termene, precum şi pentru modificarea unor acte normative</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5023"/>
        <w:gridCol w:w="4461"/>
        <w:gridCol w:w="2016"/>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widowControl w:val="0"/>
              <w:spacing w:after="0" w:line="240" w:lineRule="auto"/>
              <w:jc w:val="both"/>
            </w:pPr>
            <w:r>
              <w:t>Nr. crt.</w:t>
            </w:r>
          </w:p>
        </w:tc>
        <w:tc>
          <w:tcPr>
            <w:tcW w:w="5023" w:type="dxa"/>
          </w:tcPr>
          <w:p>
            <w:pPr>
              <w:widowControl w:val="0"/>
              <w:spacing w:after="0" w:line="240" w:lineRule="auto"/>
              <w:jc w:val="center"/>
            </w:pPr>
            <w:r>
              <w:t>Măsura</w:t>
            </w:r>
          </w:p>
        </w:tc>
        <w:tc>
          <w:tcPr>
            <w:tcW w:w="4461" w:type="dxa"/>
          </w:tcPr>
          <w:p>
            <w:pPr>
              <w:widowControl w:val="0"/>
              <w:spacing w:after="0" w:line="240" w:lineRule="auto"/>
              <w:jc w:val="center"/>
            </w:pPr>
            <w:r>
              <w:t>Motivația</w:t>
            </w:r>
          </w:p>
        </w:tc>
        <w:tc>
          <w:tcPr>
            <w:tcW w:w="2016" w:type="dxa"/>
          </w:tcPr>
          <w:p>
            <w:pPr>
              <w:widowControl w:val="0"/>
              <w:spacing w:after="0" w:line="240" w:lineRule="auto"/>
              <w:jc w:val="center"/>
            </w:pPr>
            <w:r>
              <w:t>Impact</w:t>
            </w:r>
          </w:p>
          <w:p>
            <w:pPr>
              <w:widowControl w:val="0"/>
              <w:spacing w:after="0" w:line="240" w:lineRule="auto"/>
              <w:jc w:val="center"/>
              <w:rPr>
                <w:lang w:val="ro-RO"/>
              </w:rPr>
            </w:pPr>
            <w:r>
              <w:rPr>
                <w:lang w:val="ro-RO"/>
              </w:rPr>
              <w:t>(mil. lei)</w:t>
            </w:r>
          </w:p>
        </w:tc>
        <w:tc>
          <w:tcPr>
            <w:tcW w:w="1924" w:type="dxa"/>
          </w:tcPr>
          <w:p>
            <w:pPr>
              <w:widowControl w:val="0"/>
              <w:spacing w:after="0" w:line="240" w:lineRule="auto"/>
              <w:jc w:val="center"/>
            </w:pPr>
            <w:r>
              <w:t>Comentarii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5"/>
            <w:shd w:val="clear" w:color="auto" w:fill="E7E6E6" w:themeFill="background2"/>
          </w:tcPr>
          <w:p>
            <w:pPr>
              <w:widowControl w:val="0"/>
              <w:jc w:val="center"/>
            </w:pPr>
            <w:r>
              <w:rPr>
                <w:lang w:val="ro-RO"/>
              </w:rPr>
              <w:t xml:space="preserve"> </w:t>
            </w:r>
            <w:r>
              <w:t>Leg</w:t>
            </w:r>
            <w:r>
              <w:rPr>
                <w:lang w:val="ro-RO"/>
              </w:rPr>
              <w:t>ea</w:t>
            </w:r>
            <w:r>
              <w:t xml:space="preserve"> nr. 227/2015 privind Codul fiscal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widowControl w:val="0"/>
              <w:spacing w:after="0" w:line="240" w:lineRule="auto"/>
              <w:jc w:val="both"/>
              <w:rPr>
                <w:lang w:val="ro-RO"/>
              </w:rPr>
            </w:pPr>
            <w:r>
              <w:rPr>
                <w:lang w:val="ro-RO"/>
              </w:rPr>
              <w:t>1</w:t>
            </w:r>
          </w:p>
        </w:tc>
        <w:tc>
          <w:tcPr>
            <w:tcW w:w="5023" w:type="dxa"/>
          </w:tcPr>
          <w:p>
            <w:pPr>
              <w:widowControl w:val="0"/>
              <w:spacing w:after="0" w:line="240" w:lineRule="auto"/>
              <w:jc w:val="both"/>
              <w:rPr>
                <w:lang w:val="ro-RO"/>
              </w:rPr>
            </w:pPr>
            <w:r>
              <w:rPr>
                <w:lang w:val="ro-RO"/>
              </w:rPr>
              <w:t>Revizuirea sistemului de impozitare pe veniturile microîntreprinderilor:</w:t>
            </w:r>
          </w:p>
          <w:p>
            <w:pPr>
              <w:widowControl w:val="0"/>
              <w:spacing w:after="0" w:line="240" w:lineRule="auto"/>
              <w:jc w:val="both"/>
              <w:rPr>
                <w:lang w:val="ro-RO"/>
              </w:rPr>
            </w:pPr>
            <w:r>
              <w:rPr>
                <w:lang w:val="ro-RO"/>
              </w:rPr>
              <w:t>reducerea plafonului de încadrare ca microîntreprindere de la 1.000.000 euro la 500.000 euro;</w:t>
            </w:r>
          </w:p>
          <w:p>
            <w:pPr>
              <w:widowControl w:val="0"/>
              <w:spacing w:after="0" w:line="240" w:lineRule="auto"/>
              <w:jc w:val="both"/>
              <w:rPr>
                <w:lang w:val="ro-RO"/>
              </w:rPr>
            </w:pPr>
            <w:r>
              <w:rPr>
                <w:lang w:val="ro-RO"/>
              </w:rPr>
              <w:t>excluderea persoanelor juridice române care realizează venituri din consultanța și management în pondere mai mare de 20% din totalul veniturilor;</w:t>
            </w:r>
          </w:p>
          <w:p>
            <w:pPr>
              <w:widowControl w:val="0"/>
              <w:spacing w:after="0" w:line="240" w:lineRule="auto"/>
              <w:jc w:val="both"/>
              <w:rPr>
                <w:lang w:val="ro-RO"/>
              </w:rPr>
            </w:pPr>
            <w:r>
              <w:rPr>
                <w:lang w:val="ro-RO"/>
              </w:rPr>
              <w:t xml:space="preserve">excluderea persoanelor juridice române care desfășoară activități cu reglementări specifice cum sunt: </w:t>
            </w:r>
          </w:p>
          <w:p>
            <w:pPr>
              <w:widowControl w:val="0"/>
              <w:spacing w:after="0" w:line="240" w:lineRule="auto"/>
              <w:jc w:val="both"/>
              <w:rPr>
                <w:lang w:val="ro-RO"/>
              </w:rPr>
            </w:pPr>
            <w:r>
              <w:rPr>
                <w:lang w:val="ro-RO"/>
              </w:rPr>
              <w:t>-activitățile în domeniul bancar;</w:t>
            </w:r>
          </w:p>
          <w:p>
            <w:pPr>
              <w:widowControl w:val="0"/>
              <w:spacing w:after="0" w:line="240" w:lineRule="auto"/>
              <w:jc w:val="both"/>
              <w:rPr>
                <w:lang w:val="ro-RO"/>
              </w:rPr>
            </w:pPr>
            <w:r>
              <w:rPr>
                <w:lang w:val="ro-RO"/>
              </w:rPr>
              <w:t>-în domeniul asigurărilor și reasigurărilor, al pieței de capital, cu excepția activităților de intermediere în aceste domenii;</w:t>
            </w:r>
          </w:p>
          <w:p>
            <w:pPr>
              <w:widowControl w:val="0"/>
              <w:spacing w:after="0" w:line="240" w:lineRule="auto"/>
              <w:jc w:val="both"/>
              <w:rPr>
                <w:lang w:val="ro-RO"/>
              </w:rPr>
            </w:pPr>
            <w:r>
              <w:rPr>
                <w:lang w:val="ro-RO"/>
              </w:rPr>
              <w:t>-activitățile în domeniul jocurilor de noroc;</w:t>
            </w:r>
          </w:p>
          <w:p>
            <w:pPr>
              <w:widowControl w:val="0"/>
              <w:spacing w:after="0" w:line="240" w:lineRule="auto"/>
              <w:jc w:val="both"/>
              <w:rPr>
                <w:lang w:val="ro-RO"/>
              </w:rPr>
            </w:pPr>
            <w:r>
              <w:rPr>
                <w:lang w:val="ro-RO"/>
              </w:rPr>
              <w:t>activitățile de explorare, dezvoltare, exploatare a zăcămintelor petroliere și gazelor naturale.</w:t>
            </w:r>
          </w:p>
        </w:tc>
        <w:tc>
          <w:tcPr>
            <w:tcW w:w="4461" w:type="dxa"/>
          </w:tcPr>
          <w:p>
            <w:pPr>
              <w:widowControl w:val="0"/>
              <w:spacing w:after="0" w:line="240" w:lineRule="auto"/>
              <w:jc w:val="both"/>
              <w:rPr>
                <w:lang w:val="ro-RO"/>
              </w:rPr>
            </w:pPr>
            <w:r>
              <w:rPr>
                <w:lang w:val="ro-RO"/>
              </w:rPr>
              <w:t>Necesitatea reducerii graduale a ariei de aplicabilitate a regimului special de impozitare a microîntreprinderilor.</w:t>
            </w:r>
          </w:p>
          <w:p>
            <w:pPr>
              <w:widowControl w:val="0"/>
              <w:spacing w:after="0" w:line="240" w:lineRule="auto"/>
              <w:jc w:val="both"/>
              <w:rPr>
                <w:lang w:val="ro-RO"/>
              </w:rPr>
            </w:pPr>
          </w:p>
        </w:tc>
        <w:tc>
          <w:tcPr>
            <w:tcW w:w="2016" w:type="dxa"/>
          </w:tcPr>
          <w:p>
            <w:pPr>
              <w:widowControl w:val="0"/>
              <w:spacing w:after="0" w:line="240" w:lineRule="auto"/>
              <w:jc w:val="both"/>
              <w:rPr>
                <w:lang w:val="ro-RO"/>
              </w:rPr>
            </w:pPr>
            <w:r>
              <w:rPr>
                <w:lang w:val="ro-RO"/>
              </w:rPr>
              <w:t>356 mil. lei</w:t>
            </w:r>
          </w:p>
        </w:tc>
        <w:tc>
          <w:tcPr>
            <w:tcW w:w="1924" w:type="dxa"/>
          </w:tcPr>
          <w:p>
            <w:pPr>
              <w:widowControl w:val="0"/>
              <w:jc w:val="both"/>
            </w:pPr>
            <w:r>
              <w:t>Impactul este pentru anul 2022 și vizează doar diminuarea plafonului de încadrare ca microîntreprindere de la 1.000.000 euro la 500.000 euro.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widowControl w:val="0"/>
              <w:spacing w:after="0" w:line="240" w:lineRule="auto"/>
              <w:jc w:val="both"/>
              <w:rPr>
                <w:lang w:val="ro-RO"/>
              </w:rPr>
            </w:pPr>
            <w:r>
              <w:rPr>
                <w:lang w:val="ro-RO"/>
              </w:rPr>
              <w:t>2</w:t>
            </w:r>
          </w:p>
        </w:tc>
        <w:tc>
          <w:tcPr>
            <w:tcW w:w="5023" w:type="dxa"/>
          </w:tcPr>
          <w:p>
            <w:pPr>
              <w:widowControl w:val="0"/>
              <w:spacing w:after="0" w:line="240" w:lineRule="auto"/>
              <w:jc w:val="both"/>
              <w:rPr>
                <w:b/>
                <w:bCs/>
                <w:lang w:val="ro-RO"/>
              </w:rPr>
            </w:pPr>
            <w:r>
              <w:rPr>
                <w:b/>
                <w:bCs/>
                <w:lang w:val="ro-RO"/>
              </w:rPr>
              <w:t>Modificarea regimului fiscal aplicabil veniturilor obținute sub forma tichete cadou în corelare cu revizuirea prevederilor Legii nr. 165/2018 privind acordarea biletelor de valoare, cu modificările și completările ulterioare:</w:t>
            </w:r>
          </w:p>
          <w:p>
            <w:pPr>
              <w:widowControl w:val="0"/>
              <w:spacing w:after="0" w:line="240" w:lineRule="auto"/>
              <w:jc w:val="both"/>
              <w:rPr>
                <w:lang w:val="ro-RO"/>
              </w:rPr>
            </w:pPr>
            <w:r>
              <w:rPr>
                <w:b/>
                <w:bCs/>
                <w:lang w:val="ro-RO"/>
              </w:rPr>
              <w:t xml:space="preserve">- </w:t>
            </w:r>
            <w:r>
              <w:t>elimin</w:t>
            </w:r>
            <w:r>
              <w:rPr>
                <w:lang w:val="ro-RO"/>
              </w:rPr>
              <w:t>area</w:t>
            </w:r>
            <w:r>
              <w:t xml:space="preserve"> din categoria veniturilor din alte surse a</w:t>
            </w:r>
            <w:r>
              <w:rPr>
                <w:lang w:val="ro-RO"/>
              </w:rPr>
              <w:t xml:space="preserve"> acestor venituri și </w:t>
            </w:r>
            <w:r>
              <w:t xml:space="preserve"> includerea</w:t>
            </w:r>
            <w:r>
              <w:rPr>
                <w:lang w:val="ro-RO"/>
              </w:rPr>
              <w:t xml:space="preserve"> acestora în categoria venituri de natură salarială </w:t>
            </w:r>
            <w:r>
              <w:t>și  în baza de calcul al contribuțiilor sociale obligatorii</w:t>
            </w:r>
            <w:r>
              <w:rPr>
                <w:lang w:val="ro-RO"/>
              </w:rPr>
              <w:t>;</w:t>
            </w:r>
          </w:p>
          <w:p>
            <w:pPr>
              <w:widowControl w:val="0"/>
              <w:spacing w:after="0" w:line="240" w:lineRule="auto"/>
              <w:jc w:val="both"/>
              <w:rPr>
                <w:lang w:val="ro-RO"/>
              </w:rPr>
            </w:pPr>
          </w:p>
          <w:p>
            <w:pPr>
              <w:widowControl w:val="0"/>
              <w:spacing w:after="0" w:line="240" w:lineRule="auto"/>
              <w:jc w:val="both"/>
              <w:rPr>
                <w:lang w:val="ro-RO"/>
              </w:rPr>
            </w:pPr>
          </w:p>
          <w:p>
            <w:pPr>
              <w:widowControl w:val="0"/>
              <w:spacing w:after="0" w:line="240" w:lineRule="auto"/>
              <w:jc w:val="both"/>
            </w:pPr>
          </w:p>
          <w:p>
            <w:pPr>
              <w:widowControl w:val="0"/>
              <w:spacing w:after="0" w:line="240" w:lineRule="auto"/>
              <w:jc w:val="both"/>
              <w:rPr>
                <w:lang w:val="ro-RO"/>
              </w:rPr>
            </w:pPr>
            <w:r>
              <w:rPr>
                <w:lang w:val="ro-RO"/>
              </w:rPr>
              <w:t xml:space="preserve">- </w:t>
            </w:r>
            <w:r>
              <w:t>major</w:t>
            </w:r>
            <w:r>
              <w:rPr>
                <w:lang w:val="ro-RO"/>
              </w:rPr>
              <w:t>area plafonului neimpozabil și care nu se cuprinde în baza de calcul al contribuțiilor sociale obligatorii de la 150 de lei la 300 de lei, pentru cadourile în bani şi/sau în natură, inclusiv tichetele cadou, oferite de angajatori, pentru fiecare persoană în parte, cu fiecare ocazie prevăzută de lege.</w:t>
            </w:r>
          </w:p>
          <w:p>
            <w:pPr>
              <w:widowControl w:val="0"/>
              <w:spacing w:after="0" w:line="240" w:lineRule="auto"/>
              <w:jc w:val="both"/>
              <w:rPr>
                <w:lang w:val="ro-RO"/>
              </w:rPr>
            </w:pPr>
          </w:p>
        </w:tc>
        <w:tc>
          <w:tcPr>
            <w:tcW w:w="4461" w:type="dxa"/>
          </w:tcPr>
          <w:p>
            <w:pPr>
              <w:widowControl w:val="0"/>
              <w:spacing w:after="0" w:line="240" w:lineRule="auto"/>
              <w:jc w:val="both"/>
            </w:pPr>
          </w:p>
          <w:p>
            <w:pPr>
              <w:widowControl w:val="0"/>
              <w:spacing w:after="0" w:line="240" w:lineRule="auto"/>
              <w:jc w:val="both"/>
            </w:pPr>
          </w:p>
          <w:p>
            <w:pPr>
              <w:widowControl w:val="0"/>
              <w:spacing w:after="0" w:line="240" w:lineRule="auto"/>
              <w:jc w:val="both"/>
            </w:pPr>
          </w:p>
          <w:p>
            <w:pPr>
              <w:widowControl w:val="0"/>
              <w:spacing w:after="0" w:line="240" w:lineRule="auto"/>
              <w:jc w:val="both"/>
            </w:pPr>
          </w:p>
          <w:p>
            <w:pPr>
              <w:widowControl w:val="0"/>
              <w:spacing w:after="0" w:line="240" w:lineRule="auto"/>
              <w:jc w:val="both"/>
            </w:pPr>
          </w:p>
          <w:p>
            <w:pPr>
              <w:widowControl w:val="0"/>
              <w:spacing w:after="0" w:line="240" w:lineRule="auto"/>
              <w:jc w:val="both"/>
            </w:pPr>
          </w:p>
          <w:p>
            <w:pPr>
              <w:widowControl w:val="0"/>
              <w:spacing w:after="0" w:line="240" w:lineRule="auto"/>
              <w:jc w:val="both"/>
              <w:rPr>
                <w:lang w:val="ro-RO"/>
              </w:rPr>
            </w:pPr>
            <w:r>
              <w:rPr>
                <w:lang w:val="ro-RO"/>
              </w:rPr>
              <w:t xml:space="preserve">- </w:t>
            </w:r>
            <w:r>
              <w:t>eliminarea situațiilor constatate în practică de către organele fiscale de control</w:t>
            </w:r>
            <w:r>
              <w:rPr>
                <w:lang w:val="ro-RO"/>
              </w:rPr>
              <w:t>. A</w:t>
            </w:r>
            <w:r>
              <w:t>stfel</w:t>
            </w:r>
            <w:r>
              <w:rPr>
                <w:lang w:val="ro-RO"/>
              </w:rPr>
              <w:t>, acordarea tichetelor cadou, în</w:t>
            </w:r>
            <w:r>
              <w:t xml:space="preserve"> practică</w:t>
            </w:r>
            <w:r>
              <w:rPr>
                <w:lang w:val="ro-RO"/>
              </w:rPr>
              <w:t xml:space="preserve">,  </w:t>
            </w:r>
            <w:r>
              <w:t>evidențiază în fapt o formă de salarizare disimulată, în scopul evitării plății contribuțiilor sociale obligatorii</w:t>
            </w:r>
            <w:r>
              <w:rPr>
                <w:lang w:val="ro-RO"/>
              </w:rPr>
              <w:t>;</w:t>
            </w:r>
          </w:p>
          <w:p>
            <w:pPr>
              <w:widowControl w:val="0"/>
              <w:spacing w:after="0" w:line="240" w:lineRule="auto"/>
              <w:jc w:val="both"/>
              <w:rPr>
                <w:lang w:val="ro-RO"/>
              </w:rPr>
            </w:pPr>
            <w:r>
              <w:rPr>
                <w:lang w:val="ro-RO"/>
              </w:rPr>
              <w:t>- ultima majorare a avut loc în anul 2005 (de la 120 de lei la 150 de lei/persoană/eveniment).</w:t>
            </w:r>
          </w:p>
        </w:tc>
        <w:tc>
          <w:tcPr>
            <w:tcW w:w="2016" w:type="dxa"/>
          </w:tcPr>
          <w:p>
            <w:pPr>
              <w:widowControl w:val="0"/>
              <w:spacing w:after="0" w:line="240" w:lineRule="auto"/>
              <w:jc w:val="both"/>
            </w:pPr>
          </w:p>
          <w:p>
            <w:pPr>
              <w:widowControl w:val="0"/>
              <w:spacing w:after="0" w:line="240" w:lineRule="auto"/>
              <w:jc w:val="both"/>
              <w:rPr>
                <w:lang w:val="ro-RO"/>
              </w:rPr>
            </w:pPr>
            <w:r>
              <w:rPr>
                <w:lang w:val="ro-RO"/>
              </w:rPr>
              <w:t>În anul 2022: - 66.5</w:t>
            </w:r>
          </w:p>
          <w:p>
            <w:pPr>
              <w:widowControl w:val="0"/>
              <w:spacing w:after="0" w:line="240" w:lineRule="auto"/>
              <w:jc w:val="both"/>
              <w:rPr>
                <w:lang w:val="ro-RO"/>
              </w:rPr>
            </w:pPr>
          </w:p>
        </w:tc>
        <w:tc>
          <w:tcPr>
            <w:tcW w:w="1924"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widowControl w:val="0"/>
              <w:spacing w:after="0" w:line="240" w:lineRule="auto"/>
              <w:jc w:val="both"/>
              <w:rPr>
                <w:lang w:val="ro-RO"/>
              </w:rPr>
            </w:pPr>
            <w:r>
              <w:rPr>
                <w:lang w:val="ro-RO"/>
              </w:rPr>
              <w:t>3</w:t>
            </w:r>
          </w:p>
        </w:tc>
        <w:tc>
          <w:tcPr>
            <w:tcW w:w="5023" w:type="dxa"/>
          </w:tcPr>
          <w:p>
            <w:pPr>
              <w:widowControl w:val="0"/>
              <w:spacing w:after="0" w:line="240" w:lineRule="auto"/>
              <w:jc w:val="both"/>
              <w:rPr>
                <w:lang w:val="ro-RO"/>
              </w:rPr>
            </w:pPr>
            <w:r>
              <w:rPr>
                <w:lang w:val="ro-RO"/>
              </w:rPr>
              <w:t xml:space="preserve">Eliminarea </w:t>
            </w:r>
            <w:r>
              <w:t>except</w:t>
            </w:r>
            <w:r>
              <w:rPr>
                <w:lang w:val="ro-RO"/>
              </w:rPr>
              <w:t xml:space="preserve">ării </w:t>
            </w:r>
            <w:r>
              <w:t xml:space="preserve">de la plata contribuției de asigurări sociale de sănătate pentru persoanele fizice care au calitatea de pensionari pentru veniturile din pensii care depășesc 4.000 de lei </w:t>
            </w:r>
            <w:r>
              <w:rPr>
                <w:lang w:val="ro-RO"/>
              </w:rPr>
              <w:t>și includerea în baza lunară de calcul al CASS pentru partea care depășește 4.000 de lei pentru fiecare drept de pensie.</w:t>
            </w:r>
          </w:p>
        </w:tc>
        <w:tc>
          <w:tcPr>
            <w:tcW w:w="4461" w:type="dxa"/>
          </w:tcPr>
          <w:p>
            <w:pPr>
              <w:widowControl w:val="0"/>
              <w:spacing w:after="0" w:line="240" w:lineRule="auto"/>
              <w:jc w:val="both"/>
              <w:rPr>
                <w:lang w:val="ro-RO"/>
              </w:rPr>
            </w:pPr>
            <w:r>
              <w:t>implementarea măsurilor din domeniul fiscal cuprinse în Programul de guvernare</w:t>
            </w:r>
            <w:r>
              <w:rPr>
                <w:lang w:val="ro-RO"/>
              </w:rPr>
              <w:t xml:space="preserve"> și  a </w:t>
            </w:r>
            <w:r>
              <w:t>obiectivel</w:t>
            </w:r>
            <w:r>
              <w:rPr>
                <w:lang w:val="ro-RO"/>
              </w:rPr>
              <w:t>or</w:t>
            </w:r>
            <w:r>
              <w:t xml:space="preserve"> din Planul Național de Redresare și Reziliență cu privire la necesitatea reducerii distorsiunilor și stimulentelor fiscale</w:t>
            </w:r>
            <w:r>
              <w:rPr>
                <w:lang w:val="ro-RO"/>
              </w:rPr>
              <w:t>.</w:t>
            </w:r>
          </w:p>
        </w:tc>
        <w:tc>
          <w:tcPr>
            <w:tcW w:w="2016" w:type="dxa"/>
          </w:tcPr>
          <w:p>
            <w:pPr>
              <w:widowControl w:val="0"/>
              <w:spacing w:after="0" w:line="240" w:lineRule="auto"/>
              <w:jc w:val="both"/>
              <w:rPr>
                <w:lang w:val="ro-RO"/>
              </w:rPr>
            </w:pPr>
            <w:r>
              <w:rPr>
                <w:lang w:val="ro-RO"/>
              </w:rPr>
              <w:t>În anul 2022: 563</w:t>
            </w:r>
          </w:p>
          <w:p>
            <w:pPr>
              <w:widowControl w:val="0"/>
              <w:spacing w:after="0" w:line="240" w:lineRule="auto"/>
              <w:jc w:val="both"/>
            </w:pPr>
          </w:p>
        </w:tc>
        <w:tc>
          <w:tcPr>
            <w:tcW w:w="1924"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widowControl w:val="0"/>
              <w:spacing w:after="0" w:line="240" w:lineRule="auto"/>
              <w:jc w:val="both"/>
              <w:rPr>
                <w:lang w:val="ro-RO"/>
              </w:rPr>
            </w:pPr>
            <w:r>
              <w:rPr>
                <w:lang w:val="ro-RO"/>
              </w:rPr>
              <w:t>4</w:t>
            </w:r>
          </w:p>
        </w:tc>
        <w:tc>
          <w:tcPr>
            <w:tcW w:w="5023" w:type="dxa"/>
          </w:tcPr>
          <w:p>
            <w:pPr>
              <w:widowControl w:val="0"/>
              <w:spacing w:after="0" w:line="240" w:lineRule="auto"/>
              <w:jc w:val="both"/>
            </w:pPr>
            <w:r>
              <w:t>Aplicarea cotei reduse de TVA de 5% pentru livrarea locuințelor cu o valoare de maximum 140.000 euro (echivalent în lei), în limita a 2 locuințe achiziționate cu cota redusă după 1 ianuarie 2022.</w:t>
            </w:r>
          </w:p>
        </w:tc>
        <w:tc>
          <w:tcPr>
            <w:tcW w:w="4461" w:type="dxa"/>
          </w:tcPr>
          <w:p>
            <w:pPr>
              <w:widowControl w:val="0"/>
              <w:spacing w:after="0" w:line="240" w:lineRule="auto"/>
              <w:jc w:val="both"/>
            </w:pPr>
            <w:r>
              <w:t>Conform Legii nr. 296/2020, cota redusă de TVA de 5%  pentru livrarea locuințelor cu o valoare de maximum 140.000 euro (echivalent în lei), urma să se aplice începând cu 1 ianuarie 2022 , pentru un număr nelimitat de tranzacții. Pentru respectarea c</w:t>
            </w:r>
            <w:bookmarkStart w:id="0" w:name="_GoBack"/>
            <w:bookmarkEnd w:id="0"/>
            <w:r>
              <w:t>ondiției referitoare la caracterul social al locuințelor care beneficiază de cota redusă și pentru diminuarea impactului bugetar negativ, este necesară limitarea aplicării facilității la maximum 2 locuințe.</w:t>
            </w:r>
          </w:p>
        </w:tc>
        <w:tc>
          <w:tcPr>
            <w:tcW w:w="2016" w:type="dxa"/>
          </w:tcPr>
          <w:p>
            <w:pPr>
              <w:widowControl w:val="0"/>
              <w:spacing w:after="0" w:line="240" w:lineRule="auto"/>
              <w:jc w:val="both"/>
            </w:pPr>
            <w:r>
              <w:rPr>
                <w:lang w:val="ro-RO"/>
              </w:rPr>
              <w:t xml:space="preserve">- </w:t>
            </w:r>
            <w:r>
              <w:t>580 pentru anul 2022</w:t>
            </w:r>
          </w:p>
        </w:tc>
        <w:tc>
          <w:tcPr>
            <w:tcW w:w="1924"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widowControl w:val="0"/>
              <w:spacing w:after="0" w:line="240" w:lineRule="auto"/>
              <w:jc w:val="both"/>
              <w:rPr>
                <w:lang w:val="ro-RO"/>
              </w:rPr>
            </w:pPr>
            <w:r>
              <w:rPr>
                <w:lang w:val="ro-RO"/>
              </w:rPr>
              <w:t>5</w:t>
            </w:r>
          </w:p>
        </w:tc>
        <w:tc>
          <w:tcPr>
            <w:tcW w:w="5023" w:type="dxa"/>
          </w:tcPr>
          <w:p>
            <w:pPr>
              <w:widowControl w:val="0"/>
              <w:spacing w:after="0" w:line="240" w:lineRule="auto"/>
              <w:jc w:val="both"/>
              <w:rPr>
                <w:lang w:val="ro-RO"/>
              </w:rPr>
            </w:pPr>
            <w:r>
              <w:rPr>
                <w:lang w:val="ro-RO"/>
              </w:rPr>
              <w:t>Aplicarea cotei reduse de TVA de 5% pentru livrarea de energie termică către populație și alte categorii de consumatori (spitale, școli, ONG-uri, furnizori de servicii sociale) pe perioada rece, respectiv 1 ianuarie -30 aprilie 2022.</w:t>
            </w:r>
          </w:p>
        </w:tc>
        <w:tc>
          <w:tcPr>
            <w:tcW w:w="4461" w:type="dxa"/>
          </w:tcPr>
          <w:p>
            <w:pPr>
              <w:widowControl w:val="0"/>
              <w:spacing w:after="0" w:line="240" w:lineRule="auto"/>
              <w:jc w:val="both"/>
            </w:pPr>
            <w:r>
              <w:t>Conform Legii nr. 196/2021, cota redusă de 5% urma să se aplice începând cu data de 13 ianuarie 2022, pentru livrarea de energie termică către populație, pe o perioadă nelimitată de timp.</w:t>
            </w:r>
          </w:p>
          <w:p>
            <w:pPr>
              <w:widowControl w:val="0"/>
              <w:spacing w:after="0" w:line="240" w:lineRule="auto"/>
              <w:jc w:val="both"/>
            </w:pPr>
            <w:r>
              <w:t>Pe lângă populație, sunt și alte categorii de consumatori cu un grad redus de suportabilitate., care au fost incluse. În plus pentru limitarea impactului bugetar negativ, măsura urmează să se aplice doar pe o perioadă limitată de timp.</w:t>
            </w:r>
          </w:p>
          <w:p>
            <w:pPr>
              <w:widowControl w:val="0"/>
              <w:spacing w:after="0" w:line="240" w:lineRule="auto"/>
              <w:jc w:val="both"/>
            </w:pPr>
          </w:p>
        </w:tc>
        <w:tc>
          <w:tcPr>
            <w:tcW w:w="2016" w:type="dxa"/>
          </w:tcPr>
          <w:p>
            <w:pPr>
              <w:widowControl w:val="0"/>
              <w:spacing w:after="0" w:line="240" w:lineRule="auto"/>
              <w:jc w:val="both"/>
            </w:pPr>
            <w:r>
              <w:t>– 202 pentru anul 2022</w:t>
            </w:r>
          </w:p>
        </w:tc>
        <w:tc>
          <w:tcPr>
            <w:tcW w:w="1924"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5"/>
            <w:shd w:val="clear" w:color="auto" w:fill="E7E6E6" w:themeFill="background2"/>
          </w:tcPr>
          <w:p>
            <w:pPr>
              <w:widowControl w:val="0"/>
              <w:jc w:val="center"/>
            </w:pPr>
            <w:r>
              <w:t>Reglementări fiscale referitoare la educația timpurie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widowControl w:val="0"/>
              <w:spacing w:after="0" w:line="240" w:lineRule="auto"/>
              <w:jc w:val="both"/>
              <w:rPr>
                <w:lang w:val="ro-RO"/>
              </w:rPr>
            </w:pPr>
            <w:r>
              <w:rPr>
                <w:lang w:val="ro-RO"/>
              </w:rPr>
              <w:t>1</w:t>
            </w:r>
          </w:p>
        </w:tc>
        <w:tc>
          <w:tcPr>
            <w:tcW w:w="5023" w:type="dxa"/>
          </w:tcPr>
          <w:p>
            <w:pPr>
              <w:widowControl w:val="0"/>
              <w:spacing w:after="0" w:line="240" w:lineRule="auto"/>
              <w:jc w:val="both"/>
              <w:rPr>
                <w:lang w:val="ro-RO"/>
              </w:rPr>
            </w:pPr>
            <w:r>
              <w:t>prelungirea perioadei de suspendare a reglementărilor</w:t>
            </w:r>
            <w:r>
              <w:rPr>
                <w:lang w:val="ro-RO"/>
              </w:rPr>
              <w:t xml:space="preserve"> privind acordarea </w:t>
            </w:r>
            <w:r>
              <w:t>facilit</w:t>
            </w:r>
            <w:r>
              <w:rPr>
                <w:lang w:val="ro-RO"/>
              </w:rPr>
              <w:t xml:space="preserve">ății </w:t>
            </w:r>
            <w:r>
              <w:t>fiscal</w:t>
            </w:r>
            <w:r>
              <w:rPr>
                <w:lang w:val="ro-RO"/>
              </w:rPr>
              <w:t>e</w:t>
            </w:r>
            <w:r>
              <w:t xml:space="preserve"> pentru cheltuielile cu educația timpurie</w:t>
            </w:r>
            <w:r>
              <w:rPr>
                <w:lang w:val="ro-RO"/>
              </w:rPr>
              <w:t>, pentru perioada 1 ianuarie - 31 decembrie 2022, inclusiv.</w:t>
            </w:r>
          </w:p>
        </w:tc>
        <w:tc>
          <w:tcPr>
            <w:tcW w:w="4461" w:type="dxa"/>
          </w:tcPr>
          <w:p>
            <w:pPr>
              <w:widowControl w:val="0"/>
              <w:spacing w:after="0" w:line="240" w:lineRule="auto"/>
              <w:jc w:val="both"/>
              <w:rPr>
                <w:lang w:val="ro-RO"/>
              </w:rPr>
            </w:pPr>
            <w:r>
              <w:rPr>
                <w:lang w:val="ro-RO"/>
              </w:rPr>
              <w:t xml:space="preserve">Pentru a se da eficiență reglementărilor fiscale  incidente și pentru a preîntâmpina afectarea în mod negativ a bugetului de stat, luând în considerare faptul că perioada de suspendare, reglementată prin O.U.G. nr. 19/2021, se apropie de încheiere (31 decembrie 2021) și se menține, în continuare, situația existentă înainte de suspendare prin nesoluționarea inadvertențelor și lacunelor care nu permit aplicarea unitară a prevederilor fiscale referitoare la educația timpurie. </w:t>
            </w:r>
          </w:p>
        </w:tc>
        <w:tc>
          <w:tcPr>
            <w:tcW w:w="2016" w:type="dxa"/>
          </w:tcPr>
          <w:p>
            <w:pPr>
              <w:widowControl w:val="0"/>
              <w:spacing w:after="0" w:line="240" w:lineRule="auto"/>
              <w:jc w:val="both"/>
              <w:rPr>
                <w:lang w:val="ro-RO"/>
              </w:rPr>
            </w:pPr>
            <w:r>
              <w:rPr>
                <w:lang w:val="ro-RO"/>
              </w:rPr>
              <w:t>În anul 2022: 2.500</w:t>
            </w:r>
          </w:p>
          <w:p>
            <w:pPr>
              <w:widowControl w:val="0"/>
              <w:spacing w:after="0" w:line="240" w:lineRule="auto"/>
              <w:jc w:val="both"/>
            </w:pPr>
          </w:p>
        </w:tc>
        <w:tc>
          <w:tcPr>
            <w:tcW w:w="1924"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5"/>
            <w:shd w:val="clear" w:color="auto" w:fill="E7E6E6" w:themeFill="background2"/>
          </w:tcPr>
          <w:p>
            <w:pPr>
              <w:widowControl w:val="0"/>
              <w:jc w:val="center"/>
            </w:pPr>
            <w:r>
              <w:rPr>
                <w:lang w:val="ro-RO"/>
              </w:rPr>
              <w:t>Prevederi referitoare la impozitul/taxa pe clădiri/teren și a impozitul pe mijloacele de transport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widowControl w:val="0"/>
              <w:spacing w:after="0" w:line="240" w:lineRule="auto"/>
              <w:jc w:val="both"/>
              <w:rPr>
                <w:lang w:val="ro-RO"/>
              </w:rPr>
            </w:pPr>
            <w:r>
              <w:rPr>
                <w:lang w:val="ro-RO"/>
              </w:rPr>
              <w:t>1.</w:t>
            </w:r>
          </w:p>
        </w:tc>
        <w:tc>
          <w:tcPr>
            <w:tcW w:w="5023" w:type="dxa"/>
          </w:tcPr>
          <w:p>
            <w:pPr>
              <w:widowControl w:val="0"/>
              <w:spacing w:after="0" w:line="240" w:lineRule="auto"/>
              <w:jc w:val="both"/>
            </w:pPr>
            <w:r>
              <w:t>Majorarea cu 50% a cotelor/nivelurilor maxime aferente calculului impozitului/taxei pentru clădiri/terenuri</w:t>
            </w:r>
          </w:p>
        </w:tc>
        <w:tc>
          <w:tcPr>
            <w:tcW w:w="4461" w:type="dxa"/>
          </w:tcPr>
          <w:p>
            <w:pPr>
              <w:widowControl w:val="0"/>
              <w:spacing w:after="0" w:line="240" w:lineRule="auto"/>
              <w:jc w:val="both"/>
            </w:pPr>
            <w:r>
              <w:t>La momentul actual majoritatea unităților administrative-teritoriale utilizează valorile minime ale cotelor și nivelurilor de stabilire a impozitelor și taxelor locale, afectând veniturile bugetelor locale și echilibrarea bugetară</w:t>
            </w:r>
          </w:p>
        </w:tc>
        <w:tc>
          <w:tcPr>
            <w:tcW w:w="2016" w:type="dxa"/>
          </w:tcPr>
          <w:p>
            <w:pPr>
              <w:widowControl w:val="0"/>
              <w:spacing w:after="0" w:line="240" w:lineRule="auto"/>
              <w:jc w:val="both"/>
            </w:pPr>
            <w:r>
              <w:t xml:space="preserve">1.785,6 </w:t>
            </w:r>
          </w:p>
        </w:tc>
        <w:tc>
          <w:tcPr>
            <w:tcW w:w="1924" w:type="dxa"/>
          </w:tcPr>
          <w:p>
            <w:pPr>
              <w:widowControl w:val="0"/>
              <w:jc w:val="both"/>
            </w:pPr>
            <w:r>
              <w:t>Impactul este pentru anul 2022 pentru clădiri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widowControl w:val="0"/>
              <w:spacing w:after="0" w:line="240" w:lineRule="auto"/>
              <w:jc w:val="both"/>
              <w:rPr>
                <w:lang w:val="ro-RO"/>
              </w:rPr>
            </w:pPr>
            <w:r>
              <w:rPr>
                <w:lang w:val="ro-RO"/>
              </w:rPr>
              <w:t>2.</w:t>
            </w:r>
          </w:p>
        </w:tc>
        <w:tc>
          <w:tcPr>
            <w:tcW w:w="5023" w:type="dxa"/>
          </w:tcPr>
          <w:p>
            <w:pPr>
              <w:widowControl w:val="0"/>
              <w:spacing w:after="0" w:line="240" w:lineRule="auto"/>
              <w:jc w:val="both"/>
            </w:pPr>
            <w:r>
              <w:t>Majorarea cu 50% a nivelurilor maxime aferente calculului impozitului pe mijloacele de transport</w:t>
            </w:r>
          </w:p>
        </w:tc>
        <w:tc>
          <w:tcPr>
            <w:tcW w:w="4461" w:type="dxa"/>
          </w:tcPr>
          <w:p>
            <w:pPr>
              <w:widowControl w:val="0"/>
              <w:spacing w:after="0" w:line="240" w:lineRule="auto"/>
              <w:jc w:val="both"/>
            </w:pPr>
            <w:r>
              <w:t>Pentru cresterea veniturilor bugetare aferente acestui impozit, avand in vedere diferentierea modului de impozitare in functie de capacitatea cilindrica (impozite mici pana la 2000 cm</w:t>
            </w:r>
            <w:r>
              <w:rPr>
                <w:vertAlign w:val="superscript"/>
              </w:rPr>
              <w:t>3</w:t>
            </w:r>
            <w:r>
              <w:t>si cresterea exponentiala dupa acesta limita)</w:t>
            </w:r>
          </w:p>
        </w:tc>
        <w:tc>
          <w:tcPr>
            <w:tcW w:w="2016" w:type="dxa"/>
          </w:tcPr>
          <w:p>
            <w:pPr>
              <w:widowControl w:val="0"/>
              <w:spacing w:after="0" w:line="240" w:lineRule="auto"/>
              <w:jc w:val="both"/>
            </w:pPr>
            <w:r>
              <w:t xml:space="preserve">375,0 </w:t>
            </w:r>
          </w:p>
        </w:tc>
        <w:tc>
          <w:tcPr>
            <w:tcW w:w="1924" w:type="dxa"/>
          </w:tcPr>
          <w:p>
            <w:pPr>
              <w:widowControl w:val="0"/>
              <w:jc w:val="both"/>
            </w:pPr>
            <w:r>
              <w:t xml:space="preserve">Impactul este pentru anul 2022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widowControl w:val="0"/>
              <w:spacing w:after="0" w:line="240" w:lineRule="auto"/>
              <w:jc w:val="both"/>
              <w:rPr>
                <w:lang w:val="ro-RO"/>
              </w:rPr>
            </w:pPr>
          </w:p>
        </w:tc>
        <w:tc>
          <w:tcPr>
            <w:tcW w:w="5023" w:type="dxa"/>
          </w:tcPr>
          <w:p>
            <w:pPr>
              <w:widowControl w:val="0"/>
              <w:spacing w:after="0" w:line="240" w:lineRule="auto"/>
              <w:jc w:val="both"/>
            </w:pPr>
            <w:r>
              <w:rPr>
                <w:b/>
              </w:rPr>
              <w:t>Total impact bugete locale ca urmare a majorărilor cu 50% a a cotelor/nivelurilor maxime</w:t>
            </w:r>
          </w:p>
        </w:tc>
        <w:tc>
          <w:tcPr>
            <w:tcW w:w="4461" w:type="dxa"/>
          </w:tcPr>
          <w:p>
            <w:pPr>
              <w:widowControl w:val="0"/>
              <w:spacing w:after="0" w:line="240" w:lineRule="auto"/>
              <w:jc w:val="both"/>
            </w:pPr>
          </w:p>
        </w:tc>
        <w:tc>
          <w:tcPr>
            <w:tcW w:w="2016" w:type="dxa"/>
          </w:tcPr>
          <w:p>
            <w:pPr>
              <w:widowControl w:val="0"/>
              <w:spacing w:after="0" w:line="240" w:lineRule="auto"/>
              <w:jc w:val="center"/>
              <w:rPr>
                <w:rFonts w:ascii="Calibri" w:hAnsi="Calibri" w:cs="Calibri"/>
                <w:b/>
                <w:color w:val="000000"/>
              </w:rPr>
            </w:pPr>
            <w:r>
              <w:rPr>
                <w:rFonts w:ascii="Calibri" w:hAnsi="Calibri" w:cs="Calibri"/>
                <w:b/>
                <w:color w:val="000000"/>
              </w:rPr>
              <w:t>2.160,6 mil. lei</w:t>
            </w:r>
          </w:p>
          <w:p>
            <w:pPr>
              <w:widowControl w:val="0"/>
              <w:spacing w:after="0" w:line="240" w:lineRule="auto"/>
              <w:jc w:val="both"/>
            </w:pPr>
          </w:p>
        </w:tc>
        <w:tc>
          <w:tcPr>
            <w:tcW w:w="1924" w:type="dxa"/>
          </w:tcPr>
          <w:p>
            <w:pPr>
              <w:widowControl w:val="0"/>
              <w:jc w:val="both"/>
            </w:pPr>
            <w:r>
              <w:t>Impactul este pentru anul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5"/>
            <w:shd w:val="clear" w:color="auto" w:fill="E7E6E6" w:themeFill="background2"/>
          </w:tcPr>
          <w:p>
            <w:pPr>
              <w:widowControl w:val="0"/>
              <w:jc w:val="center"/>
            </w:pPr>
            <w:r>
              <w:t>Leg</w:t>
            </w:r>
            <w:r>
              <w:rPr>
                <w:lang w:val="ro-RO"/>
              </w:rPr>
              <w:t>ea</w:t>
            </w:r>
            <w:r>
              <w:t xml:space="preserve"> nr. 241/2005 pentru prevenirea şi combaterea evaziunii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widowControl w:val="0"/>
              <w:jc w:val="both"/>
            </w:pPr>
          </w:p>
        </w:tc>
        <w:tc>
          <w:tcPr>
            <w:tcW w:w="5023" w:type="dxa"/>
          </w:tcPr>
          <w:p>
            <w:pPr>
              <w:widowControl w:val="0"/>
              <w:jc w:val="both"/>
            </w:pPr>
            <w:r>
              <w:rPr>
                <w:lang w:val="ro-RO"/>
              </w:rPr>
              <w:t>Modificarea și completarea Legii nr. 241/2005 pentru prevenirea și combaterea evaziunii fiscale</w:t>
            </w:r>
          </w:p>
        </w:tc>
        <w:tc>
          <w:tcPr>
            <w:tcW w:w="4461" w:type="dxa"/>
          </w:tcPr>
          <w:p>
            <w:pPr>
              <w:widowControl w:val="0"/>
              <w:spacing w:after="0" w:line="240" w:lineRule="auto"/>
              <w:jc w:val="both"/>
              <w:rPr>
                <w:lang w:val="ro-RO"/>
              </w:rPr>
            </w:pPr>
            <w:r>
              <w:rPr>
                <w:lang w:val="ro-RO"/>
              </w:rPr>
              <w:t>Prin Decizia Curţii Constituţionale nr. 363 din 7 mai 2015 publicată în Monitorul Oficial nr. 495 din 6 iulie 2015, au fost declarate neconstituționale dispoziţiile art. 6 din Legea nr. 241/2005 pentru prevenirea şi combaterea evaziunii fiscale, pe considerentul că prevederile criticate nu respectă exigenţele constituţionale referitoare la calitatea legii, respectiv nu întrunesc condiţiile de claritate, precizie, predictibilitate şi accesibilitate.</w:t>
            </w:r>
          </w:p>
          <w:p>
            <w:pPr>
              <w:widowControl w:val="0"/>
              <w:spacing w:after="0" w:line="240" w:lineRule="auto"/>
              <w:jc w:val="both"/>
              <w:rPr>
                <w:lang w:val="ro-RO"/>
              </w:rPr>
            </w:pPr>
            <w:r>
              <w:rPr>
                <w:lang w:val="ro-RO"/>
              </w:rPr>
              <w:t>Efectul acestei decizii este dispariția unui mijloc legal de protejare a bugetului de stat şi de protecţie a persoanelor cărora li s-au reţinut impozitele cu diferite destinaţii (contribuţii, impozite etc.), dar nu au fost virate bugetului, situaţie în care nu îşi vor putea dovedi și solicita diferite drepturi de care se leagă plata acestor impozite şi contribuţii, în practică întâlnindu-se cazuri în care, spre exemplu cu ocazia pensionării, unele persoane aflate în această situaţie constată că le-a fost stabilită o pensie mai mică decât cea cuvenită, ca urmare a neplăţii contribuţiei individuale de asigurări sociale, la stabilirea stagiului de cotizare nefiindu-le luate în calcul anumite perioade sau anumite venituri pentru care nu s-au plătit contribuţiile, situaţii care, de cele mai multe ori, se soluţionează în instanţă.</w:t>
            </w:r>
          </w:p>
          <w:p>
            <w:pPr>
              <w:widowControl w:val="0"/>
              <w:jc w:val="both"/>
            </w:pPr>
            <w:r>
              <w:rPr>
                <w:lang w:val="ro-RO"/>
              </w:rPr>
              <w:t xml:space="preserve">Astfel, </w:t>
            </w:r>
            <w:r>
              <w:t xml:space="preserve"> </w:t>
            </w:r>
            <w:r>
              <w:rPr>
                <w:lang w:val="ro-RO"/>
              </w:rPr>
              <w:t>se incriminează ca faptă de evaziune fiscală, reţinerea şi neplata, încasarea şi neplata, ori, după caz, nereținerea sau neîncasarea, în cel mult 60 de zile de la termenul de scadență prevăzut de lege, a impozitelor și/sau contribuţiilor prevăzute în Anexa. Pentru a asigura predictibilitatea normei de incriminare, s-au prevăzut expres, în Anexa la proiectul de act normativ, categoriile de impozite și contribuții, supuse regimului de reținere sau încasare și plată sau virare, cu precizarea actului normativ și a articolelor care le reglementează. Limitele pedepsei prevăzute sunt închisoarea de la 1 an la 5 ani.</w:t>
            </w:r>
          </w:p>
        </w:tc>
        <w:tc>
          <w:tcPr>
            <w:tcW w:w="2016" w:type="dxa"/>
          </w:tcPr>
          <w:p>
            <w:pPr>
              <w:widowControl w:val="0"/>
              <w:jc w:val="both"/>
            </w:pPr>
          </w:p>
        </w:tc>
        <w:tc>
          <w:tcPr>
            <w:tcW w:w="1924"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5"/>
            <w:shd w:val="clear" w:color="auto" w:fill="E7E6E6" w:themeFill="background2"/>
          </w:tcPr>
          <w:p>
            <w:pPr>
              <w:widowControl w:val="0"/>
              <w:jc w:val="center"/>
            </w:pPr>
            <w:r>
              <w:t>Legea nr. 165/2018 privind acordarea biletelor de valoare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widowControl w:val="0"/>
              <w:jc w:val="both"/>
              <w:rPr>
                <w:lang w:val="ro-RO"/>
              </w:rPr>
            </w:pPr>
            <w:r>
              <w:rPr>
                <w:lang w:val="ro-RO"/>
              </w:rPr>
              <w:t>1.</w:t>
            </w:r>
          </w:p>
        </w:tc>
        <w:tc>
          <w:tcPr>
            <w:tcW w:w="5023" w:type="dxa"/>
          </w:tcPr>
          <w:p>
            <w:pPr>
              <w:widowControl w:val="0"/>
              <w:jc w:val="both"/>
              <w:rPr>
                <w:lang w:val="ro-RO"/>
              </w:rPr>
            </w:pPr>
            <w:r>
              <w:rPr>
                <w:lang w:val="ro-RO"/>
              </w:rPr>
              <w:t>Emiterea biletelor de valoare reglementate de Legea nr. 165/2018,  exclusiv pe suport electronic.</w:t>
            </w:r>
          </w:p>
        </w:tc>
        <w:tc>
          <w:tcPr>
            <w:tcW w:w="4461" w:type="dxa"/>
          </w:tcPr>
          <w:p>
            <w:pPr>
              <w:widowControl w:val="0"/>
              <w:spacing w:after="0" w:line="240" w:lineRule="auto"/>
              <w:jc w:val="both"/>
            </w:pPr>
            <w:r>
              <w:t>Se reglementează emiterea biletelor de valoare prevăzute de Legea nr. 165/2018, exclusiv electronic, ținând cont de următoarele aspecte:</w:t>
            </w:r>
          </w:p>
          <w:p>
            <w:pPr>
              <w:widowControl w:val="0"/>
              <w:tabs>
                <w:tab w:val="left" w:pos="2280"/>
              </w:tabs>
              <w:spacing w:after="0" w:line="240" w:lineRule="auto"/>
              <w:ind w:right="71"/>
              <w:jc w:val="both"/>
              <w:rPr>
                <w:sz w:val="24"/>
                <w:szCs w:val="24"/>
                <w:lang w:val="pt-PT"/>
              </w:rPr>
            </w:pPr>
          </w:p>
          <w:p>
            <w:pPr>
              <w:widowControl w:val="0"/>
              <w:spacing w:after="0" w:line="240" w:lineRule="auto"/>
              <w:jc w:val="both"/>
            </w:pPr>
            <w:r>
              <w:t>•  situația actuală extraordinară, cauzată de pandemia de COVID-19 și riscurile asociate acesteia, pentru a nu pune în pericol sănătatea populației a fost recomandată efectuarea plăților fără numerar, prin mijloace moderne de plată, precum cardurile sau plățile online,</w:t>
            </w:r>
          </w:p>
          <w:p>
            <w:pPr>
              <w:widowControl w:val="0"/>
              <w:spacing w:after="0" w:line="240" w:lineRule="auto"/>
              <w:jc w:val="both"/>
            </w:pPr>
          </w:p>
          <w:p>
            <w:pPr>
              <w:widowControl w:val="0"/>
              <w:spacing w:after="0" w:line="240" w:lineRule="auto"/>
              <w:jc w:val="both"/>
            </w:pPr>
            <w:r>
              <w:t>•   biletele de valoare emise pe suport hârtie sunt manipulate de un număr mare de persoane,</w:t>
            </w:r>
          </w:p>
          <w:p>
            <w:pPr>
              <w:widowControl w:val="0"/>
              <w:spacing w:after="0" w:line="240" w:lineRule="auto"/>
              <w:jc w:val="both"/>
            </w:pPr>
          </w:p>
          <w:p>
            <w:pPr>
              <w:widowControl w:val="0"/>
              <w:spacing w:after="0" w:line="240" w:lineRule="auto"/>
              <w:jc w:val="both"/>
            </w:pPr>
            <w:r>
              <w:t>•  caracterul înalt contagios al COVID-19, de numeroasele cazuri de infectare în toate statele lumii, inclusiv în România, precum şi necesitatea prevenirii răspândirii infecţiilor  cauzate de acest virus,</w:t>
            </w:r>
          </w:p>
          <w:p>
            <w:pPr>
              <w:widowControl w:val="0"/>
              <w:spacing w:after="0" w:line="240" w:lineRule="auto"/>
              <w:jc w:val="both"/>
            </w:pPr>
          </w:p>
          <w:p>
            <w:pPr>
              <w:widowControl w:val="0"/>
              <w:spacing w:after="0" w:line="240" w:lineRule="auto"/>
              <w:jc w:val="both"/>
            </w:pPr>
            <w:r>
              <w:t>•</w:t>
            </w:r>
            <w:r>
              <w:tab/>
            </w:r>
            <w:r>
              <w:t>tichetele pe suport electronic reprezintă aproximativ 76% din valoarea totală a biletelor de valoare emise în anul 2020,</w:t>
            </w:r>
          </w:p>
          <w:p>
            <w:pPr>
              <w:widowControl w:val="0"/>
              <w:spacing w:after="0" w:line="240" w:lineRule="auto"/>
              <w:jc w:val="both"/>
            </w:pPr>
            <w:r>
              <w:t>•</w:t>
            </w:r>
            <w:r>
              <w:tab/>
            </w:r>
            <w:r>
              <w:t>95% dintre biletele de valoare pe suport hârtie sunt utilizate în locaţii care sunt dotate cu terminale POS,</w:t>
            </w:r>
          </w:p>
          <w:p>
            <w:pPr>
              <w:widowControl w:val="0"/>
              <w:spacing w:after="0" w:line="240" w:lineRule="auto"/>
              <w:jc w:val="both"/>
            </w:pPr>
            <w:r>
              <w:t>•</w:t>
            </w:r>
            <w:r>
              <w:tab/>
            </w:r>
            <w:r>
              <w:t>utilizarea cât mai extinsă a cardurilor reprezintă o soluție a cărei eficiență este dovedită în ceea ce privește combaterea evaziunii fiscale și care astfel asigură, implicit, creșterea gradului de colectare a veniturilor la bugetul de stat,</w:t>
            </w:r>
          </w:p>
          <w:p>
            <w:pPr>
              <w:widowControl w:val="0"/>
              <w:jc w:val="both"/>
              <w:rPr>
                <w:lang w:val="ro-RO"/>
              </w:rPr>
            </w:pPr>
            <w:r>
              <w:t>•</w:t>
            </w:r>
            <w:r>
              <w:tab/>
            </w:r>
            <w:r>
              <w:t>acordarea biletelor de valoare pe suport electronic unui număr cât mai mare de beneficiari va conduce la creșterea rețelei de acceptare, inclusiv în mediul rural, fapt care va impacta pozitiv și numărul de plăți făcute cu alte tipuri de carduri și pe cale de consecință, va constitui o măsură în plus în combaterea fraudei fiscale, prin stabilirea trasabilității fluxurilor bănești.</w:t>
            </w:r>
          </w:p>
        </w:tc>
        <w:tc>
          <w:tcPr>
            <w:tcW w:w="2016" w:type="dxa"/>
          </w:tcPr>
          <w:p>
            <w:pPr>
              <w:widowControl w:val="0"/>
              <w:jc w:val="both"/>
            </w:pPr>
          </w:p>
        </w:tc>
        <w:tc>
          <w:tcPr>
            <w:tcW w:w="1924" w:type="dxa"/>
          </w:tcPr>
          <w:p>
            <w:pPr>
              <w:widowControl w:val="0"/>
              <w:jc w:val="both"/>
            </w:pPr>
          </w:p>
        </w:tc>
      </w:tr>
    </w:tbl>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F5718"/>
    <w:rsid w:val="00774824"/>
    <w:rsid w:val="00A9029A"/>
    <w:rsid w:val="0A374AF2"/>
    <w:rsid w:val="0A450DB6"/>
    <w:rsid w:val="1207739B"/>
    <w:rsid w:val="13800F31"/>
    <w:rsid w:val="15D90936"/>
    <w:rsid w:val="1D6E1B68"/>
    <w:rsid w:val="238E05A1"/>
    <w:rsid w:val="34760F7D"/>
    <w:rsid w:val="358B15E4"/>
    <w:rsid w:val="37FB55E3"/>
    <w:rsid w:val="3AF63A44"/>
    <w:rsid w:val="3B78186E"/>
    <w:rsid w:val="3B90463A"/>
    <w:rsid w:val="3DED26B5"/>
    <w:rsid w:val="43E81400"/>
    <w:rsid w:val="4C5132CB"/>
    <w:rsid w:val="55120F25"/>
    <w:rsid w:val="61E97E87"/>
    <w:rsid w:val="64D42A5D"/>
    <w:rsid w:val="668634C2"/>
    <w:rsid w:val="694A72F5"/>
    <w:rsid w:val="6AB77115"/>
    <w:rsid w:val="6B340BF6"/>
    <w:rsid w:val="6B625FD1"/>
    <w:rsid w:val="72323642"/>
    <w:rsid w:val="72985DF7"/>
    <w:rsid w:val="78BA4135"/>
    <w:rsid w:val="7B0F5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Ministerul Finantelor Publice</Company>
  <Pages>7</Pages>
  <Words>1470</Words>
  <Characters>8382</Characters>
  <Lines>69</Lines>
  <Paragraphs>19</Paragraphs>
  <TotalTime>3</TotalTime>
  <ScaleCrop>false</ScaleCrop>
  <LinksUpToDate>false</LinksUpToDate>
  <CharactersWithSpaces>9833</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2021-12-13T09:51:00Z</dcterms:created>
  <dc:creator>Mihaela</dc:creator>
  <cp:lastModifiedBy>Mihaela</cp:lastModifiedBy>
  <cp:lastPrinted>2021-12-13T10:55:00Z</cp:lastPrinted>
  <dcterms:modified xsi:type="dcterms:W3CDTF">2021-12-13T11:23:49Z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